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方正小标宋简体" w:hAnsi="宋体" w:eastAsia="方正小标宋简体"/>
          <w:color w:val="000000"/>
          <w:sz w:val="30"/>
          <w:szCs w:val="30"/>
        </w:rPr>
      </w:pPr>
      <w:bookmarkStart w:id="0" w:name="_Toc15306267"/>
    </w:p>
    <w:p>
      <w:pPr>
        <w:spacing w:line="600" w:lineRule="exact"/>
        <w:jc w:val="center"/>
        <w:rPr>
          <w:rFonts w:ascii="方正小标宋简体" w:hAnsi="宋体" w:eastAsia="方正小标宋简体"/>
          <w:color w:val="000000"/>
          <w:sz w:val="72"/>
          <w:szCs w:val="72"/>
        </w:rPr>
      </w:pPr>
    </w:p>
    <w:p>
      <w:pPr>
        <w:spacing w:line="600" w:lineRule="exact"/>
        <w:jc w:val="center"/>
        <w:rPr>
          <w:rFonts w:ascii="方正小标宋简体" w:hAnsi="宋体" w:eastAsia="方正小标宋简体"/>
          <w:color w:val="000000"/>
          <w:sz w:val="72"/>
          <w:szCs w:val="72"/>
        </w:rPr>
      </w:pPr>
    </w:p>
    <w:p>
      <w:pPr>
        <w:spacing w:line="600" w:lineRule="exact"/>
        <w:jc w:val="center"/>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sz w:val="72"/>
          <w:szCs w:val="72"/>
        </w:rPr>
      </w:pPr>
      <w:bookmarkStart w:id="1" w:name="_Toc15377193"/>
      <w:bookmarkStart w:id="2" w:name="_Toc26714"/>
      <w:bookmarkStart w:id="3" w:name="_Toc15378441"/>
      <w:bookmarkStart w:id="4" w:name="_Toc15396475"/>
      <w:bookmarkStart w:id="5" w:name="_Toc15396597"/>
      <w:bookmarkStart w:id="6" w:name="_Toc15377425"/>
      <w:r>
        <w:rPr>
          <w:rFonts w:ascii="黑体" w:hAnsi="黑体" w:eastAsia="黑体"/>
          <w:sz w:val="72"/>
          <w:szCs w:val="72"/>
        </w:rPr>
        <w:t>20</w:t>
      </w:r>
      <w:r>
        <w:rPr>
          <w:rFonts w:hint="eastAsia" w:ascii="黑体" w:hAnsi="黑体" w:eastAsia="黑体"/>
          <w:sz w:val="72"/>
          <w:szCs w:val="72"/>
        </w:rPr>
        <w:t>20</w:t>
      </w:r>
      <w:r>
        <w:rPr>
          <w:rFonts w:hint="eastAsia" w:ascii="方正小标宋简体" w:hAnsi="宋体" w:eastAsia="方正小标宋简体"/>
          <w:sz w:val="72"/>
          <w:szCs w:val="72"/>
        </w:rPr>
        <w:t>年度</w:t>
      </w:r>
      <w:bookmarkEnd w:id="1"/>
      <w:bookmarkEnd w:id="2"/>
      <w:bookmarkEnd w:id="3"/>
      <w:bookmarkEnd w:id="4"/>
      <w:bookmarkEnd w:id="5"/>
      <w:bookmarkEnd w:id="6"/>
    </w:p>
    <w:p>
      <w:pPr>
        <w:adjustRightInd w:val="0"/>
        <w:snapToGrid w:val="0"/>
        <w:spacing w:line="360" w:lineRule="auto"/>
        <w:jc w:val="center"/>
        <w:outlineLvl w:val="0"/>
        <w:rPr>
          <w:rFonts w:ascii="方正小标宋简体" w:hAnsi="宋体" w:eastAsia="方正小标宋简体"/>
          <w:sz w:val="72"/>
          <w:szCs w:val="72"/>
        </w:rPr>
      </w:pPr>
      <w:bookmarkStart w:id="7" w:name="_Toc28331"/>
      <w:bookmarkStart w:id="8" w:name="_Toc15377426"/>
      <w:bookmarkStart w:id="9" w:name="_Toc15378442"/>
      <w:bookmarkStart w:id="10" w:name="_Toc15396476"/>
      <w:bookmarkStart w:id="11" w:name="_Toc15396598"/>
      <w:bookmarkStart w:id="12" w:name="_Toc15377194"/>
      <w:r>
        <w:rPr>
          <w:rFonts w:hint="eastAsia" w:ascii="方正小标宋简体" w:hAnsi="宋体" w:eastAsia="方正小标宋简体"/>
          <w:sz w:val="72"/>
          <w:szCs w:val="72"/>
        </w:rPr>
        <w:t>四川省</w:t>
      </w:r>
      <w:bookmarkEnd w:id="0"/>
      <w:bookmarkStart w:id="13" w:name="_Toc15306268"/>
      <w:r>
        <w:rPr>
          <w:rFonts w:hint="eastAsia" w:ascii="方正小标宋简体" w:hAnsi="宋体" w:eastAsia="方正小标宋简体"/>
          <w:sz w:val="72"/>
          <w:szCs w:val="72"/>
        </w:rPr>
        <w:t>农田水利局</w:t>
      </w:r>
      <w:bookmarkEnd w:id="7"/>
    </w:p>
    <w:p>
      <w:pPr>
        <w:adjustRightInd w:val="0"/>
        <w:snapToGrid w:val="0"/>
        <w:spacing w:line="360" w:lineRule="auto"/>
        <w:jc w:val="center"/>
        <w:outlineLvl w:val="0"/>
        <w:rPr>
          <w:rFonts w:ascii="方正小标宋简体" w:hAnsi="宋体" w:eastAsia="方正小标宋简体"/>
          <w:sz w:val="72"/>
          <w:szCs w:val="72"/>
        </w:rPr>
      </w:pPr>
      <w:bookmarkStart w:id="14" w:name="_Toc25288"/>
      <w:r>
        <w:rPr>
          <w:rFonts w:hint="eastAsia" w:ascii="方正小标宋简体" w:hAnsi="宋体" w:eastAsia="方正小标宋简体"/>
          <w:sz w:val="72"/>
          <w:szCs w:val="72"/>
          <w:lang w:eastAsia="zh-CN"/>
        </w:rPr>
        <w:t>单位</w:t>
      </w:r>
      <w:r>
        <w:rPr>
          <w:rFonts w:hint="eastAsia" w:ascii="方正小标宋简体" w:hAnsi="宋体" w:eastAsia="方正小标宋简体"/>
          <w:sz w:val="72"/>
          <w:szCs w:val="72"/>
        </w:rPr>
        <w:t>决算</w:t>
      </w:r>
      <w:bookmarkEnd w:id="8"/>
      <w:bookmarkEnd w:id="9"/>
      <w:bookmarkEnd w:id="10"/>
      <w:bookmarkEnd w:id="11"/>
      <w:bookmarkEnd w:id="12"/>
      <w:bookmarkEnd w:id="13"/>
      <w:bookmarkEnd w:id="14"/>
    </w:p>
    <w:p>
      <w:pPr>
        <w:widowControl/>
        <w:spacing w:line="440" w:lineRule="exact"/>
        <w:jc w:val="left"/>
        <w:rPr>
          <w:rFonts w:ascii="仿宋" w:hAnsi="仿宋" w:eastAsia="仿宋"/>
          <w:b/>
          <w:sz w:val="24"/>
        </w:rPr>
      </w:pPr>
      <w:r>
        <w:rPr>
          <w:rFonts w:ascii="方正小标宋简体" w:hAnsi="宋体" w:eastAsia="方正小标宋简体"/>
          <w:sz w:val="36"/>
          <w:szCs w:val="36"/>
        </w:rPr>
        <w:br w:type="page"/>
      </w:r>
      <w:bookmarkStart w:id="15" w:name="_Toc15377196"/>
      <w:bookmarkStart w:id="16" w:name="_Toc15396599"/>
    </w:p>
    <w:sdt>
      <w:sdtPr>
        <w:rPr>
          <w:rFonts w:hint="eastAsia" w:ascii="黑体" w:hAnsi="黑体" w:eastAsia="黑体" w:cs="黑体"/>
          <w:b/>
          <w:bCs/>
          <w:kern w:val="0"/>
          <w:sz w:val="48"/>
          <w:szCs w:val="48"/>
        </w:rPr>
        <w:id w:val="147451024"/>
        <w15:color w:val="DBDBDB"/>
        <w:docPartObj>
          <w:docPartGallery w:val="Table of Contents"/>
          <w:docPartUnique/>
        </w:docPartObj>
      </w:sdtPr>
      <w:sdtEndPr>
        <w:rPr>
          <w:rFonts w:hint="eastAsia" w:ascii="仿宋" w:hAnsi="仿宋" w:eastAsia="仿宋" w:cs="仿宋"/>
          <w:b/>
          <w:bCs/>
          <w:kern w:val="0"/>
          <w:sz w:val="32"/>
          <w:szCs w:val="32"/>
        </w:rPr>
      </w:sdtEndPr>
      <w:sdtContent>
        <w:p>
          <w:pPr>
            <w:jc w:val="center"/>
            <w:rPr>
              <w:rFonts w:ascii="黑体" w:hAnsi="黑体" w:eastAsia="黑体" w:cs="黑体"/>
              <w:b/>
              <w:bCs/>
              <w:sz w:val="48"/>
              <w:szCs w:val="48"/>
            </w:rPr>
          </w:pPr>
          <w:r>
            <w:rPr>
              <w:rFonts w:hint="eastAsia" w:ascii="黑体" w:hAnsi="黑体" w:eastAsia="黑体" w:cs="黑体"/>
              <w:b/>
              <w:bCs/>
              <w:sz w:val="48"/>
              <w:szCs w:val="48"/>
            </w:rPr>
            <w:t>目录</w:t>
          </w:r>
        </w:p>
        <w:p>
          <w:pPr>
            <w:pStyle w:val="40"/>
            <w:tabs>
              <w:tab w:val="right" w:leader="dot" w:pos="8306"/>
            </w:tabs>
            <w:jc w:val="center"/>
            <w:rPr>
              <w:rFonts w:ascii="仿宋" w:hAnsi="仿宋" w:eastAsia="仿宋" w:cs="仿宋"/>
              <w:b/>
              <w:sz w:val="32"/>
              <w:szCs w:val="32"/>
            </w:rPr>
          </w:pPr>
          <w:r>
            <w:rPr>
              <w:rFonts w:hint="eastAsia" w:ascii="仿宋" w:hAnsi="仿宋" w:eastAsia="仿宋" w:cs="仿宋"/>
              <w:sz w:val="28"/>
              <w:szCs w:val="28"/>
            </w:rPr>
            <w:t>公开时间：2021年9月10日</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"1-2" \h \u </w:instrText>
          </w:r>
          <w:r>
            <w:rPr>
              <w:rFonts w:hint="eastAsia" w:ascii="仿宋" w:hAnsi="仿宋" w:eastAsia="仿宋" w:cs="仿宋"/>
              <w:sz w:val="32"/>
              <w:szCs w:val="32"/>
            </w:rPr>
            <w:fldChar w:fldCharType="separate"/>
          </w:r>
        </w:p>
        <w:p>
          <w:pPr>
            <w:pStyle w:val="40"/>
            <w:tabs>
              <w:tab w:val="right" w:leader="dot" w:pos="8306"/>
            </w:tabs>
            <w:rPr>
              <w:rFonts w:ascii="仿宋" w:hAnsi="仿宋" w:eastAsia="仿宋" w:cs="仿宋"/>
              <w:b/>
              <w:sz w:val="28"/>
              <w:szCs w:val="28"/>
            </w:rPr>
          </w:pPr>
          <w:r>
            <w:fldChar w:fldCharType="begin"/>
          </w:r>
          <w:r>
            <w:instrText xml:space="preserve"> HYPERLINK \l "_Toc32688" </w:instrText>
          </w:r>
          <w:r>
            <w:fldChar w:fldCharType="separate"/>
          </w:r>
          <w:r>
            <w:rPr>
              <w:rFonts w:hint="eastAsia" w:ascii="仿宋" w:hAnsi="仿宋" w:eastAsia="仿宋" w:cs="仿宋"/>
              <w:b/>
              <w:sz w:val="28"/>
              <w:szCs w:val="28"/>
            </w:rPr>
            <w:t>第一部分 单位概况</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_Toc32688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4</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41"/>
            <w:tabs>
              <w:tab w:val="right" w:leader="dot" w:pos="8306"/>
            </w:tabs>
            <w:ind w:left="420"/>
            <w:rPr>
              <w:rFonts w:ascii="仿宋" w:hAnsi="仿宋" w:eastAsia="仿宋" w:cs="仿宋"/>
              <w:sz w:val="28"/>
              <w:szCs w:val="28"/>
            </w:rPr>
          </w:pPr>
          <w:r>
            <w:fldChar w:fldCharType="begin"/>
          </w:r>
          <w:r>
            <w:instrText xml:space="preserve"> HYPERLINK \l "_Toc20976" </w:instrText>
          </w:r>
          <w:r>
            <w:fldChar w:fldCharType="separate"/>
          </w:r>
          <w:r>
            <w:rPr>
              <w:rFonts w:hint="eastAsia" w:ascii="仿宋" w:hAnsi="仿宋" w:eastAsia="仿宋" w:cs="仿宋"/>
              <w:sz w:val="28"/>
              <w:szCs w:val="28"/>
            </w:rPr>
            <w:t>一、 职能简介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_Toc20976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1"/>
            <w:tabs>
              <w:tab w:val="right" w:leader="dot" w:pos="8306"/>
            </w:tabs>
            <w:ind w:left="420"/>
            <w:rPr>
              <w:rFonts w:hint="eastAsia" w:ascii="仿宋" w:hAnsi="仿宋" w:eastAsia="仿宋" w:cs="仿宋"/>
              <w:sz w:val="28"/>
              <w:szCs w:val="28"/>
            </w:rPr>
          </w:pPr>
          <w:r>
            <w:fldChar w:fldCharType="begin"/>
          </w:r>
          <w:r>
            <w:instrText xml:space="preserve"> HYPERLINK \l "_Toc25145" </w:instrText>
          </w:r>
          <w:r>
            <w:fldChar w:fldCharType="separate"/>
          </w:r>
          <w:r>
            <w:rPr>
              <w:rFonts w:hint="eastAsia" w:ascii="仿宋" w:hAnsi="仿宋" w:eastAsia="仿宋" w:cs="仿宋"/>
              <w:sz w:val="28"/>
              <w:szCs w:val="28"/>
            </w:rPr>
            <w:t>二、 2020年重点工作完成情况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_Toc25145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1"/>
            <w:tabs>
              <w:tab w:val="right" w:leader="dot" w:pos="8306"/>
            </w:tabs>
            <w:ind w:left="420"/>
            <w:rPr>
              <w:rFonts w:hint="eastAsia" w:ascii="仿宋" w:hAnsi="仿宋" w:eastAsia="仿宋" w:cs="仿宋"/>
              <w:sz w:val="28"/>
              <w:szCs w:val="28"/>
            </w:rPr>
          </w:pPr>
          <w:r>
            <w:fldChar w:fldCharType="begin"/>
          </w:r>
          <w:r>
            <w:instrText xml:space="preserve"> HYPERLINK \l "_Toc25145" </w:instrText>
          </w:r>
          <w:r>
            <w:fldChar w:fldCharType="separate"/>
          </w:r>
          <w:r>
            <w:rPr>
              <w:rFonts w:hint="eastAsia" w:ascii="仿宋" w:hAnsi="仿宋" w:eastAsia="仿宋" w:cs="仿宋"/>
              <w:sz w:val="28"/>
              <w:szCs w:val="28"/>
              <w:lang w:val="en-US" w:eastAsia="zh-CN"/>
            </w:rPr>
            <w:t>三</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机构设置情况</w:t>
          </w:r>
          <w:r>
            <w:rPr>
              <w:rFonts w:hint="eastAsia" w:ascii="仿宋" w:hAnsi="仿宋" w:eastAsia="仿宋" w:cs="仿宋"/>
              <w:sz w:val="28"/>
              <w:szCs w:val="28"/>
            </w:rPr>
            <w:tab/>
          </w:r>
          <w:r>
            <w:rPr>
              <w:rFonts w:hint="eastAsia" w:ascii="仿宋" w:hAnsi="仿宋" w:eastAsia="仿宋" w:cs="仿宋"/>
              <w:sz w:val="28"/>
              <w:szCs w:val="28"/>
              <w:lang w:val="en-US" w:eastAsia="zh-CN"/>
            </w:rPr>
            <w:t>7</w:t>
          </w:r>
          <w:r>
            <w:rPr>
              <w:rFonts w:hint="eastAsia" w:ascii="仿宋" w:hAnsi="仿宋" w:eastAsia="仿宋" w:cs="仿宋"/>
              <w:sz w:val="28"/>
              <w:szCs w:val="28"/>
            </w:rPr>
            <w:fldChar w:fldCharType="end"/>
          </w:r>
        </w:p>
        <w:p>
          <w:pPr>
            <w:pStyle w:val="40"/>
            <w:tabs>
              <w:tab w:val="right" w:leader="dot" w:pos="8306"/>
            </w:tabs>
            <w:rPr>
              <w:rFonts w:ascii="仿宋" w:hAnsi="仿宋" w:eastAsia="仿宋" w:cs="仿宋"/>
              <w:b/>
              <w:sz w:val="28"/>
              <w:szCs w:val="28"/>
            </w:rPr>
          </w:pPr>
          <w:r>
            <w:fldChar w:fldCharType="begin"/>
          </w:r>
          <w:r>
            <w:instrText xml:space="preserve"> HYPERLINK \l "_Toc22130" </w:instrText>
          </w:r>
          <w:r>
            <w:fldChar w:fldCharType="separate"/>
          </w:r>
          <w:r>
            <w:rPr>
              <w:rFonts w:hint="eastAsia" w:ascii="仿宋" w:hAnsi="仿宋" w:eastAsia="仿宋" w:cs="仿宋"/>
              <w:b/>
              <w:sz w:val="28"/>
              <w:szCs w:val="28"/>
            </w:rPr>
            <w:t>第二部分 2020年度</w:t>
          </w:r>
          <w:r>
            <w:rPr>
              <w:rFonts w:hint="eastAsia" w:ascii="仿宋" w:hAnsi="仿宋" w:eastAsia="仿宋" w:cs="仿宋"/>
              <w:b/>
              <w:sz w:val="28"/>
              <w:szCs w:val="28"/>
              <w:lang w:eastAsia="zh-CN"/>
            </w:rPr>
            <w:t>单位</w:t>
          </w:r>
          <w:r>
            <w:rPr>
              <w:rFonts w:hint="eastAsia" w:ascii="仿宋" w:hAnsi="仿宋" w:eastAsia="仿宋" w:cs="仿宋"/>
              <w:b/>
              <w:sz w:val="28"/>
              <w:szCs w:val="28"/>
            </w:rPr>
            <w:t>决算情况说明</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_Toc22130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8</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41"/>
            <w:tabs>
              <w:tab w:val="right" w:leader="dot" w:pos="8306"/>
            </w:tabs>
            <w:ind w:left="420"/>
            <w:rPr>
              <w:rFonts w:ascii="仿宋" w:hAnsi="仿宋" w:eastAsia="仿宋" w:cs="仿宋"/>
              <w:sz w:val="28"/>
              <w:szCs w:val="28"/>
            </w:rPr>
          </w:pPr>
          <w:r>
            <w:fldChar w:fldCharType="begin"/>
          </w:r>
          <w:r>
            <w:instrText xml:space="preserve"> HYPERLINK \l "_Toc7159" </w:instrText>
          </w:r>
          <w:r>
            <w:fldChar w:fldCharType="separate"/>
          </w:r>
          <w:r>
            <w:rPr>
              <w:rFonts w:hint="eastAsia" w:ascii="仿宋" w:hAnsi="仿宋" w:eastAsia="仿宋" w:cs="仿宋"/>
              <w:sz w:val="28"/>
              <w:szCs w:val="28"/>
            </w:rPr>
            <w:t>一、 收入支出决算总体情况说明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_Toc7159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1"/>
            <w:tabs>
              <w:tab w:val="right" w:leader="dot" w:pos="8306"/>
            </w:tabs>
            <w:ind w:left="420"/>
            <w:rPr>
              <w:rFonts w:ascii="仿宋" w:hAnsi="仿宋" w:eastAsia="仿宋" w:cs="仿宋"/>
              <w:sz w:val="28"/>
              <w:szCs w:val="28"/>
            </w:rPr>
          </w:pPr>
          <w:r>
            <w:fldChar w:fldCharType="begin"/>
          </w:r>
          <w:r>
            <w:instrText xml:space="preserve"> HYPERLINK \l "_Toc28809" </w:instrText>
          </w:r>
          <w:r>
            <w:fldChar w:fldCharType="separate"/>
          </w:r>
          <w:r>
            <w:rPr>
              <w:rFonts w:hint="eastAsia" w:ascii="仿宋" w:hAnsi="仿宋" w:eastAsia="仿宋" w:cs="仿宋"/>
              <w:sz w:val="28"/>
              <w:szCs w:val="28"/>
            </w:rPr>
            <w:t>二、收入决算情况说明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_Toc28809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1"/>
            <w:tabs>
              <w:tab w:val="right" w:leader="dot" w:pos="8306"/>
            </w:tabs>
            <w:ind w:left="420"/>
            <w:rPr>
              <w:rFonts w:ascii="仿宋" w:hAnsi="仿宋" w:eastAsia="仿宋" w:cs="仿宋"/>
              <w:sz w:val="28"/>
              <w:szCs w:val="28"/>
            </w:rPr>
          </w:pPr>
          <w:r>
            <w:fldChar w:fldCharType="begin"/>
          </w:r>
          <w:r>
            <w:instrText xml:space="preserve"> HYPERLINK \l "_Toc8284" </w:instrText>
          </w:r>
          <w:r>
            <w:fldChar w:fldCharType="separate"/>
          </w:r>
          <w:r>
            <w:rPr>
              <w:rFonts w:hint="eastAsia" w:ascii="仿宋" w:hAnsi="仿宋" w:eastAsia="仿宋" w:cs="仿宋"/>
              <w:sz w:val="28"/>
              <w:szCs w:val="28"/>
            </w:rPr>
            <w:t>三、支出决算情况说明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_Toc8284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1"/>
            <w:tabs>
              <w:tab w:val="right" w:leader="dot" w:pos="8306"/>
            </w:tabs>
            <w:ind w:left="420"/>
            <w:rPr>
              <w:rFonts w:ascii="仿宋" w:hAnsi="仿宋" w:eastAsia="仿宋" w:cs="仿宋"/>
              <w:sz w:val="28"/>
              <w:szCs w:val="28"/>
            </w:rPr>
          </w:pPr>
          <w:r>
            <w:fldChar w:fldCharType="begin"/>
          </w:r>
          <w:r>
            <w:instrText xml:space="preserve"> HYPERLINK \l "_Toc29049" </w:instrText>
          </w:r>
          <w:r>
            <w:fldChar w:fldCharType="separate"/>
          </w:r>
          <w:r>
            <w:rPr>
              <w:rFonts w:hint="eastAsia" w:ascii="仿宋" w:hAnsi="仿宋" w:eastAsia="仿宋" w:cs="仿宋"/>
              <w:sz w:val="28"/>
              <w:szCs w:val="28"/>
            </w:rPr>
            <w:t>四、财政拨款收入支出决算总体情况说明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_Toc29049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1"/>
            <w:tabs>
              <w:tab w:val="right" w:leader="dot" w:pos="8306"/>
            </w:tabs>
            <w:ind w:left="420"/>
            <w:rPr>
              <w:rFonts w:ascii="仿宋" w:hAnsi="仿宋" w:eastAsia="仿宋" w:cs="仿宋"/>
              <w:sz w:val="28"/>
              <w:szCs w:val="28"/>
            </w:rPr>
          </w:pPr>
          <w:r>
            <w:fldChar w:fldCharType="begin"/>
          </w:r>
          <w:r>
            <w:instrText xml:space="preserve"> HYPERLINK \l "_Toc24783" </w:instrText>
          </w:r>
          <w:r>
            <w:fldChar w:fldCharType="separate"/>
          </w:r>
          <w:r>
            <w:rPr>
              <w:rFonts w:hint="eastAsia" w:ascii="仿宋" w:hAnsi="仿宋" w:eastAsia="仿宋" w:cs="仿宋"/>
              <w:sz w:val="28"/>
              <w:szCs w:val="28"/>
            </w:rPr>
            <w:t>五、一般公共预算财政拨款支出决算情况说明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_Toc24783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1"/>
            <w:tabs>
              <w:tab w:val="right" w:leader="dot" w:pos="8306"/>
            </w:tabs>
            <w:ind w:left="420"/>
            <w:rPr>
              <w:rFonts w:ascii="仿宋" w:hAnsi="仿宋" w:eastAsia="仿宋" w:cs="仿宋"/>
              <w:sz w:val="28"/>
              <w:szCs w:val="28"/>
            </w:rPr>
          </w:pPr>
          <w:r>
            <w:fldChar w:fldCharType="begin"/>
          </w:r>
          <w:r>
            <w:instrText xml:space="preserve"> HYPERLINK \l "_Toc7543" </w:instrText>
          </w:r>
          <w:r>
            <w:fldChar w:fldCharType="separate"/>
          </w:r>
          <w:r>
            <w:rPr>
              <w:rFonts w:hint="eastAsia" w:ascii="仿宋" w:hAnsi="仿宋" w:eastAsia="仿宋" w:cs="仿宋"/>
              <w:sz w:val="28"/>
              <w:szCs w:val="28"/>
            </w:rPr>
            <w:t>六、一般公共预算财政拨款基本支出决算情况说明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_Toc7543 \h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1"/>
            <w:tabs>
              <w:tab w:val="right" w:leader="dot" w:pos="8306"/>
            </w:tabs>
            <w:ind w:left="420"/>
            <w:rPr>
              <w:rFonts w:ascii="仿宋" w:hAnsi="仿宋" w:eastAsia="仿宋" w:cs="仿宋"/>
              <w:sz w:val="28"/>
              <w:szCs w:val="28"/>
            </w:rPr>
          </w:pPr>
          <w:r>
            <w:fldChar w:fldCharType="begin"/>
          </w:r>
          <w:r>
            <w:instrText xml:space="preserve"> HYPERLINK \l "_Toc28532" </w:instrText>
          </w:r>
          <w:r>
            <w:fldChar w:fldCharType="separate"/>
          </w:r>
          <w:r>
            <w:rPr>
              <w:rFonts w:hint="eastAsia" w:ascii="仿宋" w:hAnsi="仿宋" w:eastAsia="仿宋" w:cs="仿宋"/>
              <w:sz w:val="28"/>
              <w:szCs w:val="28"/>
            </w:rPr>
            <w:t>七、“三公”经费财政拨款支出决算情况说明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_Toc28532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1"/>
            <w:tabs>
              <w:tab w:val="right" w:leader="dot" w:pos="8306"/>
            </w:tabs>
            <w:ind w:left="420"/>
            <w:rPr>
              <w:rFonts w:ascii="仿宋" w:hAnsi="仿宋" w:eastAsia="仿宋" w:cs="仿宋"/>
              <w:sz w:val="28"/>
              <w:szCs w:val="28"/>
            </w:rPr>
          </w:pPr>
          <w:r>
            <w:fldChar w:fldCharType="begin"/>
          </w:r>
          <w:r>
            <w:instrText xml:space="preserve"> HYPERLINK \l "_Toc10706" </w:instrText>
          </w:r>
          <w:r>
            <w:fldChar w:fldCharType="separate"/>
          </w:r>
          <w:r>
            <w:rPr>
              <w:rFonts w:hint="eastAsia" w:ascii="仿宋" w:hAnsi="仿宋" w:eastAsia="仿宋" w:cs="仿宋"/>
              <w:sz w:val="28"/>
              <w:szCs w:val="28"/>
            </w:rPr>
            <w:t>八、政府性基金预算支出决算情况说明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_Toc10706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1"/>
            <w:tabs>
              <w:tab w:val="right" w:leader="dot" w:pos="8306"/>
            </w:tabs>
            <w:ind w:left="420"/>
            <w:rPr>
              <w:rFonts w:ascii="仿宋" w:hAnsi="仿宋" w:eastAsia="仿宋" w:cs="仿宋"/>
              <w:sz w:val="28"/>
              <w:szCs w:val="28"/>
            </w:rPr>
          </w:pPr>
          <w:r>
            <w:fldChar w:fldCharType="begin"/>
          </w:r>
          <w:r>
            <w:instrText xml:space="preserve"> HYPERLINK \l "_Toc20782" </w:instrText>
          </w:r>
          <w:r>
            <w:fldChar w:fldCharType="separate"/>
          </w:r>
          <w:r>
            <w:rPr>
              <w:rFonts w:hint="eastAsia" w:ascii="仿宋" w:hAnsi="仿宋" w:eastAsia="仿宋" w:cs="仿宋"/>
              <w:sz w:val="28"/>
              <w:szCs w:val="28"/>
            </w:rPr>
            <w:t>九、 国有资本经营预算支出决算情况说明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_Toc20782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1"/>
            <w:tabs>
              <w:tab w:val="right" w:leader="dot" w:pos="8306"/>
            </w:tabs>
            <w:ind w:left="420"/>
            <w:rPr>
              <w:rFonts w:ascii="仿宋" w:hAnsi="仿宋" w:eastAsia="仿宋" w:cs="仿宋"/>
              <w:sz w:val="28"/>
              <w:szCs w:val="28"/>
            </w:rPr>
          </w:pPr>
          <w:r>
            <w:fldChar w:fldCharType="begin"/>
          </w:r>
          <w:r>
            <w:instrText xml:space="preserve"> HYPERLINK \l "_Toc24932" </w:instrText>
          </w:r>
          <w:r>
            <w:fldChar w:fldCharType="separate"/>
          </w:r>
          <w:r>
            <w:rPr>
              <w:rFonts w:hint="eastAsia" w:ascii="仿宋" w:hAnsi="仿宋" w:eastAsia="仿宋" w:cs="仿宋"/>
              <w:sz w:val="28"/>
              <w:szCs w:val="28"/>
            </w:rPr>
            <w:t>十、 其他重要事项的情况说明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_Toc24932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0"/>
            <w:tabs>
              <w:tab w:val="right" w:leader="dot" w:pos="8306"/>
            </w:tabs>
            <w:rPr>
              <w:rFonts w:ascii="仿宋" w:hAnsi="仿宋" w:eastAsia="仿宋" w:cs="仿宋"/>
              <w:b/>
              <w:sz w:val="28"/>
              <w:szCs w:val="28"/>
            </w:rPr>
          </w:pPr>
          <w:r>
            <w:fldChar w:fldCharType="begin"/>
          </w:r>
          <w:r>
            <w:instrText xml:space="preserve"> HYPERLINK \l "_Toc16591" </w:instrText>
          </w:r>
          <w:r>
            <w:fldChar w:fldCharType="separate"/>
          </w:r>
          <w:r>
            <w:rPr>
              <w:rFonts w:hint="eastAsia" w:ascii="仿宋" w:hAnsi="仿宋" w:eastAsia="仿宋" w:cs="仿宋"/>
              <w:b/>
              <w:sz w:val="28"/>
              <w:szCs w:val="28"/>
            </w:rPr>
            <w:t>第三部分 名词解释</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_Toc16591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25</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40"/>
            <w:tabs>
              <w:tab w:val="right" w:leader="dot" w:pos="8306"/>
            </w:tabs>
            <w:rPr>
              <w:rFonts w:ascii="仿宋" w:hAnsi="仿宋" w:eastAsia="仿宋" w:cs="仿宋"/>
              <w:b/>
              <w:sz w:val="28"/>
              <w:szCs w:val="28"/>
            </w:rPr>
          </w:pPr>
          <w:r>
            <w:fldChar w:fldCharType="begin"/>
          </w:r>
          <w:r>
            <w:instrText xml:space="preserve"> HYPERLINK \l "_Toc18841" </w:instrText>
          </w:r>
          <w:r>
            <w:fldChar w:fldCharType="separate"/>
          </w:r>
          <w:r>
            <w:rPr>
              <w:rFonts w:hint="eastAsia" w:ascii="仿宋" w:hAnsi="仿宋" w:eastAsia="仿宋" w:cs="仿宋"/>
              <w:b/>
              <w:sz w:val="28"/>
              <w:szCs w:val="28"/>
            </w:rPr>
            <w:t>第四部分 附件</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_Toc18841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29</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40"/>
            <w:tabs>
              <w:tab w:val="right" w:leader="dot" w:pos="8306"/>
            </w:tabs>
            <w:rPr>
              <w:rFonts w:ascii="仿宋" w:hAnsi="仿宋" w:eastAsia="仿宋" w:cs="仿宋"/>
              <w:b/>
              <w:sz w:val="28"/>
              <w:szCs w:val="28"/>
            </w:rPr>
          </w:pPr>
          <w:r>
            <w:fldChar w:fldCharType="begin"/>
          </w:r>
          <w:r>
            <w:instrText xml:space="preserve"> HYPERLINK \l "_Toc29831" </w:instrText>
          </w:r>
          <w:r>
            <w:fldChar w:fldCharType="separate"/>
          </w:r>
          <w:r>
            <w:rPr>
              <w:rFonts w:hint="eastAsia" w:ascii="仿宋" w:hAnsi="仿宋" w:eastAsia="仿宋" w:cs="仿宋"/>
              <w:b/>
              <w:sz w:val="28"/>
              <w:szCs w:val="28"/>
            </w:rPr>
            <w:t>第五部分 附表</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_Toc29831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45</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41"/>
            <w:tabs>
              <w:tab w:val="right" w:leader="dot" w:pos="8306"/>
            </w:tabs>
            <w:ind w:left="420"/>
            <w:rPr>
              <w:rFonts w:ascii="仿宋" w:hAnsi="仿宋" w:eastAsia="仿宋" w:cs="仿宋"/>
              <w:sz w:val="28"/>
              <w:szCs w:val="28"/>
            </w:rPr>
          </w:pPr>
          <w:r>
            <w:fldChar w:fldCharType="begin"/>
          </w:r>
          <w:r>
            <w:instrText xml:space="preserve"> HYPERLINK \l "_Toc13448" </w:instrText>
          </w:r>
          <w:r>
            <w:fldChar w:fldCharType="separate"/>
          </w:r>
          <w:r>
            <w:rPr>
              <w:rFonts w:hint="eastAsia" w:ascii="仿宋" w:hAnsi="仿宋" w:eastAsia="仿宋" w:cs="仿宋"/>
              <w:sz w:val="28"/>
              <w:szCs w:val="28"/>
            </w:rPr>
            <w:t>一、收入支出决算总表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_Toc13448 \h </w:instrText>
          </w:r>
          <w:r>
            <w:rPr>
              <w:rFonts w:hint="eastAsia" w:ascii="仿宋" w:hAnsi="仿宋" w:eastAsia="仿宋" w:cs="仿宋"/>
              <w:sz w:val="28"/>
              <w:szCs w:val="28"/>
            </w:rPr>
            <w:fldChar w:fldCharType="separate"/>
          </w:r>
          <w:r>
            <w:rPr>
              <w:rFonts w:hint="eastAsia" w:ascii="仿宋" w:hAnsi="仿宋" w:eastAsia="仿宋" w:cs="仿宋"/>
              <w:sz w:val="28"/>
              <w:szCs w:val="28"/>
            </w:rPr>
            <w:t>45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1"/>
            <w:tabs>
              <w:tab w:val="right" w:leader="dot" w:pos="8306"/>
            </w:tabs>
            <w:ind w:left="420"/>
            <w:rPr>
              <w:rFonts w:ascii="仿宋" w:hAnsi="仿宋" w:eastAsia="仿宋" w:cs="仿宋"/>
              <w:sz w:val="28"/>
              <w:szCs w:val="28"/>
            </w:rPr>
          </w:pPr>
          <w:r>
            <w:fldChar w:fldCharType="begin"/>
          </w:r>
          <w:r>
            <w:instrText xml:space="preserve"> HYPERLINK \l "_Toc16405" </w:instrText>
          </w:r>
          <w:r>
            <w:fldChar w:fldCharType="separate"/>
          </w:r>
          <w:r>
            <w:rPr>
              <w:rFonts w:hint="eastAsia" w:ascii="仿宋" w:hAnsi="仿宋" w:eastAsia="仿宋" w:cs="仿宋"/>
              <w:sz w:val="28"/>
              <w:szCs w:val="28"/>
            </w:rPr>
            <w:t>二、收入决算表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_Toc16405 \h </w:instrText>
          </w:r>
          <w:r>
            <w:rPr>
              <w:rFonts w:hint="eastAsia" w:ascii="仿宋" w:hAnsi="仿宋" w:eastAsia="仿宋" w:cs="仿宋"/>
              <w:sz w:val="28"/>
              <w:szCs w:val="28"/>
            </w:rPr>
            <w:fldChar w:fldCharType="separate"/>
          </w:r>
          <w:r>
            <w:rPr>
              <w:rFonts w:hint="eastAsia" w:ascii="仿宋" w:hAnsi="仿宋" w:eastAsia="仿宋" w:cs="仿宋"/>
              <w:sz w:val="28"/>
              <w:szCs w:val="28"/>
            </w:rPr>
            <w:t>45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1"/>
            <w:tabs>
              <w:tab w:val="right" w:leader="dot" w:pos="8306"/>
            </w:tabs>
            <w:ind w:left="420"/>
            <w:rPr>
              <w:rFonts w:ascii="仿宋" w:hAnsi="仿宋" w:eastAsia="仿宋" w:cs="仿宋"/>
              <w:sz w:val="28"/>
              <w:szCs w:val="28"/>
            </w:rPr>
          </w:pPr>
          <w:r>
            <w:fldChar w:fldCharType="begin"/>
          </w:r>
          <w:r>
            <w:instrText xml:space="preserve"> HYPERLINK \l "_Toc20720" </w:instrText>
          </w:r>
          <w:r>
            <w:fldChar w:fldCharType="separate"/>
          </w:r>
          <w:r>
            <w:rPr>
              <w:rFonts w:hint="eastAsia" w:ascii="仿宋" w:hAnsi="仿宋" w:eastAsia="仿宋" w:cs="仿宋"/>
              <w:sz w:val="28"/>
              <w:szCs w:val="28"/>
            </w:rPr>
            <w:t>三、支出决算表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_Toc20720 \h </w:instrText>
          </w:r>
          <w:r>
            <w:rPr>
              <w:rFonts w:hint="eastAsia" w:ascii="仿宋" w:hAnsi="仿宋" w:eastAsia="仿宋" w:cs="仿宋"/>
              <w:sz w:val="28"/>
              <w:szCs w:val="28"/>
            </w:rPr>
            <w:fldChar w:fldCharType="separate"/>
          </w:r>
          <w:r>
            <w:rPr>
              <w:rFonts w:hint="eastAsia" w:ascii="仿宋" w:hAnsi="仿宋" w:eastAsia="仿宋" w:cs="仿宋"/>
              <w:sz w:val="28"/>
              <w:szCs w:val="28"/>
            </w:rPr>
            <w:t>45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1"/>
            <w:tabs>
              <w:tab w:val="right" w:leader="dot" w:pos="8306"/>
            </w:tabs>
            <w:ind w:left="420"/>
            <w:rPr>
              <w:rFonts w:ascii="仿宋" w:hAnsi="仿宋" w:eastAsia="仿宋" w:cs="仿宋"/>
              <w:sz w:val="28"/>
              <w:szCs w:val="28"/>
            </w:rPr>
          </w:pPr>
          <w:r>
            <w:fldChar w:fldCharType="begin"/>
          </w:r>
          <w:r>
            <w:instrText xml:space="preserve"> HYPERLINK \l "_Toc331" </w:instrText>
          </w:r>
          <w:r>
            <w:fldChar w:fldCharType="separate"/>
          </w:r>
          <w:r>
            <w:rPr>
              <w:rFonts w:hint="eastAsia" w:ascii="仿宋" w:hAnsi="仿宋" w:eastAsia="仿宋" w:cs="仿宋"/>
              <w:sz w:val="28"/>
              <w:szCs w:val="28"/>
            </w:rPr>
            <w:t>四、财政拨款收入支出决算总表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_Toc331 \h </w:instrText>
          </w:r>
          <w:r>
            <w:rPr>
              <w:rFonts w:hint="eastAsia" w:ascii="仿宋" w:hAnsi="仿宋" w:eastAsia="仿宋" w:cs="仿宋"/>
              <w:sz w:val="28"/>
              <w:szCs w:val="28"/>
            </w:rPr>
            <w:fldChar w:fldCharType="separate"/>
          </w:r>
          <w:r>
            <w:rPr>
              <w:rFonts w:hint="eastAsia" w:ascii="仿宋" w:hAnsi="仿宋" w:eastAsia="仿宋" w:cs="仿宋"/>
              <w:sz w:val="28"/>
              <w:szCs w:val="28"/>
            </w:rPr>
            <w:t>45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1"/>
            <w:tabs>
              <w:tab w:val="right" w:leader="dot" w:pos="8306"/>
            </w:tabs>
            <w:ind w:left="420"/>
            <w:rPr>
              <w:rFonts w:ascii="仿宋" w:hAnsi="仿宋" w:eastAsia="仿宋" w:cs="仿宋"/>
              <w:sz w:val="28"/>
              <w:szCs w:val="28"/>
            </w:rPr>
          </w:pPr>
          <w:r>
            <w:fldChar w:fldCharType="begin"/>
          </w:r>
          <w:r>
            <w:instrText xml:space="preserve"> HYPERLINK \l "_Toc3872" </w:instrText>
          </w:r>
          <w:r>
            <w:fldChar w:fldCharType="separate"/>
          </w:r>
          <w:r>
            <w:rPr>
              <w:rFonts w:hint="eastAsia" w:ascii="仿宋" w:hAnsi="仿宋" w:eastAsia="仿宋" w:cs="仿宋"/>
              <w:sz w:val="28"/>
              <w:szCs w:val="28"/>
            </w:rPr>
            <w:t>五、财政拨款支出决算明细表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_Toc3872 \h </w:instrText>
          </w:r>
          <w:r>
            <w:rPr>
              <w:rFonts w:hint="eastAsia" w:ascii="仿宋" w:hAnsi="仿宋" w:eastAsia="仿宋" w:cs="仿宋"/>
              <w:sz w:val="28"/>
              <w:szCs w:val="28"/>
            </w:rPr>
            <w:fldChar w:fldCharType="separate"/>
          </w:r>
          <w:r>
            <w:rPr>
              <w:rFonts w:hint="eastAsia" w:ascii="仿宋" w:hAnsi="仿宋" w:eastAsia="仿宋" w:cs="仿宋"/>
              <w:sz w:val="28"/>
              <w:szCs w:val="28"/>
            </w:rPr>
            <w:t>45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1"/>
            <w:tabs>
              <w:tab w:val="right" w:leader="dot" w:pos="8306"/>
            </w:tabs>
            <w:ind w:left="420"/>
            <w:rPr>
              <w:rFonts w:ascii="仿宋" w:hAnsi="仿宋" w:eastAsia="仿宋" w:cs="仿宋"/>
              <w:sz w:val="28"/>
              <w:szCs w:val="28"/>
            </w:rPr>
          </w:pPr>
          <w:r>
            <w:fldChar w:fldCharType="begin"/>
          </w:r>
          <w:r>
            <w:instrText xml:space="preserve"> HYPERLINK \l "_Toc29155" </w:instrText>
          </w:r>
          <w:r>
            <w:fldChar w:fldCharType="separate"/>
          </w:r>
          <w:r>
            <w:rPr>
              <w:rFonts w:hint="eastAsia" w:ascii="仿宋" w:hAnsi="仿宋" w:eastAsia="仿宋" w:cs="仿宋"/>
              <w:sz w:val="28"/>
              <w:szCs w:val="28"/>
            </w:rPr>
            <w:t>六、一般公共预算财政拨款支出决算表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_Toc29155 \h </w:instrText>
          </w:r>
          <w:r>
            <w:rPr>
              <w:rFonts w:hint="eastAsia" w:ascii="仿宋" w:hAnsi="仿宋" w:eastAsia="仿宋" w:cs="仿宋"/>
              <w:sz w:val="28"/>
              <w:szCs w:val="28"/>
            </w:rPr>
            <w:fldChar w:fldCharType="separate"/>
          </w:r>
          <w:r>
            <w:rPr>
              <w:rFonts w:hint="eastAsia" w:ascii="仿宋" w:hAnsi="仿宋" w:eastAsia="仿宋" w:cs="仿宋"/>
              <w:sz w:val="28"/>
              <w:szCs w:val="28"/>
            </w:rPr>
            <w:t>45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1"/>
            <w:tabs>
              <w:tab w:val="right" w:leader="dot" w:pos="8306"/>
            </w:tabs>
            <w:ind w:left="420"/>
            <w:rPr>
              <w:rFonts w:ascii="仿宋" w:hAnsi="仿宋" w:eastAsia="仿宋" w:cs="仿宋"/>
              <w:sz w:val="28"/>
              <w:szCs w:val="28"/>
            </w:rPr>
          </w:pPr>
          <w:r>
            <w:fldChar w:fldCharType="begin"/>
          </w:r>
          <w:r>
            <w:instrText xml:space="preserve"> HYPERLINK \l "_Toc10762" </w:instrText>
          </w:r>
          <w:r>
            <w:fldChar w:fldCharType="separate"/>
          </w:r>
          <w:r>
            <w:rPr>
              <w:rFonts w:hint="eastAsia" w:ascii="仿宋" w:hAnsi="仿宋" w:eastAsia="仿宋" w:cs="仿宋"/>
              <w:sz w:val="28"/>
              <w:szCs w:val="28"/>
            </w:rPr>
            <w:t>七、一般公共预算财政拨款支出决算明细表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_Toc10762 \h </w:instrText>
          </w:r>
          <w:r>
            <w:rPr>
              <w:rFonts w:hint="eastAsia" w:ascii="仿宋" w:hAnsi="仿宋" w:eastAsia="仿宋" w:cs="仿宋"/>
              <w:sz w:val="28"/>
              <w:szCs w:val="28"/>
            </w:rPr>
            <w:fldChar w:fldCharType="separate"/>
          </w:r>
          <w:r>
            <w:rPr>
              <w:rFonts w:hint="eastAsia" w:ascii="仿宋" w:hAnsi="仿宋" w:eastAsia="仿宋" w:cs="仿宋"/>
              <w:sz w:val="28"/>
              <w:szCs w:val="28"/>
            </w:rPr>
            <w:t>45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1"/>
            <w:tabs>
              <w:tab w:val="right" w:leader="dot" w:pos="8306"/>
            </w:tabs>
            <w:ind w:left="420"/>
            <w:rPr>
              <w:rFonts w:ascii="仿宋" w:hAnsi="仿宋" w:eastAsia="仿宋" w:cs="仿宋"/>
              <w:sz w:val="28"/>
              <w:szCs w:val="28"/>
            </w:rPr>
          </w:pPr>
          <w:r>
            <w:fldChar w:fldCharType="begin"/>
          </w:r>
          <w:r>
            <w:instrText xml:space="preserve"> HYPERLINK \l "_Toc4272" </w:instrText>
          </w:r>
          <w:r>
            <w:fldChar w:fldCharType="separate"/>
          </w:r>
          <w:r>
            <w:rPr>
              <w:rFonts w:hint="eastAsia" w:ascii="仿宋" w:hAnsi="仿宋" w:eastAsia="仿宋" w:cs="仿宋"/>
              <w:sz w:val="28"/>
              <w:szCs w:val="28"/>
            </w:rPr>
            <w:t>八、一般公共预算财政拨款基本支出决算表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_Toc4272 \h </w:instrText>
          </w:r>
          <w:r>
            <w:rPr>
              <w:rFonts w:hint="eastAsia" w:ascii="仿宋" w:hAnsi="仿宋" w:eastAsia="仿宋" w:cs="仿宋"/>
              <w:sz w:val="28"/>
              <w:szCs w:val="28"/>
            </w:rPr>
            <w:fldChar w:fldCharType="separate"/>
          </w:r>
          <w:r>
            <w:rPr>
              <w:rFonts w:hint="eastAsia" w:ascii="仿宋" w:hAnsi="仿宋" w:eastAsia="仿宋" w:cs="仿宋"/>
              <w:sz w:val="28"/>
              <w:szCs w:val="28"/>
            </w:rPr>
            <w:t>45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1"/>
            <w:tabs>
              <w:tab w:val="right" w:leader="dot" w:pos="8306"/>
            </w:tabs>
            <w:ind w:left="420"/>
            <w:rPr>
              <w:rFonts w:ascii="仿宋" w:hAnsi="仿宋" w:eastAsia="仿宋" w:cs="仿宋"/>
              <w:sz w:val="28"/>
              <w:szCs w:val="28"/>
            </w:rPr>
          </w:pPr>
          <w:r>
            <w:fldChar w:fldCharType="begin"/>
          </w:r>
          <w:r>
            <w:instrText xml:space="preserve"> HYPERLINK \l "_Toc24091" </w:instrText>
          </w:r>
          <w:r>
            <w:fldChar w:fldCharType="separate"/>
          </w:r>
          <w:r>
            <w:rPr>
              <w:rFonts w:hint="eastAsia" w:ascii="仿宋" w:hAnsi="仿宋" w:eastAsia="仿宋" w:cs="仿宋"/>
              <w:sz w:val="28"/>
              <w:szCs w:val="28"/>
            </w:rPr>
            <w:t>九、一般公共预算财政拨款项目支出决算表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_Toc24091 \h </w:instrText>
          </w:r>
          <w:r>
            <w:rPr>
              <w:rFonts w:hint="eastAsia" w:ascii="仿宋" w:hAnsi="仿宋" w:eastAsia="仿宋" w:cs="仿宋"/>
              <w:sz w:val="28"/>
              <w:szCs w:val="28"/>
            </w:rPr>
            <w:fldChar w:fldCharType="separate"/>
          </w:r>
          <w:r>
            <w:rPr>
              <w:rFonts w:hint="eastAsia" w:ascii="仿宋" w:hAnsi="仿宋" w:eastAsia="仿宋" w:cs="仿宋"/>
              <w:sz w:val="28"/>
              <w:szCs w:val="28"/>
            </w:rPr>
            <w:t>45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1"/>
            <w:tabs>
              <w:tab w:val="right" w:leader="dot" w:pos="8306"/>
            </w:tabs>
            <w:ind w:left="420"/>
            <w:rPr>
              <w:rFonts w:ascii="仿宋" w:hAnsi="仿宋" w:eastAsia="仿宋" w:cs="仿宋"/>
              <w:sz w:val="28"/>
              <w:szCs w:val="28"/>
            </w:rPr>
          </w:pPr>
          <w:r>
            <w:fldChar w:fldCharType="begin"/>
          </w:r>
          <w:r>
            <w:instrText xml:space="preserve"> HYPERLINK \l "_Toc9654" </w:instrText>
          </w:r>
          <w:r>
            <w:fldChar w:fldCharType="separate"/>
          </w:r>
          <w:r>
            <w:rPr>
              <w:rFonts w:hint="eastAsia" w:ascii="仿宋" w:hAnsi="仿宋" w:eastAsia="仿宋" w:cs="仿宋"/>
              <w:sz w:val="28"/>
              <w:szCs w:val="28"/>
            </w:rPr>
            <w:t>十、一般公共预算财政拨款“三公”经费支出决算表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_Toc9654 \h </w:instrText>
          </w:r>
          <w:r>
            <w:rPr>
              <w:rFonts w:hint="eastAsia" w:ascii="仿宋" w:hAnsi="仿宋" w:eastAsia="仿宋" w:cs="仿宋"/>
              <w:sz w:val="28"/>
              <w:szCs w:val="28"/>
            </w:rPr>
            <w:fldChar w:fldCharType="separate"/>
          </w:r>
          <w:r>
            <w:rPr>
              <w:rFonts w:hint="eastAsia" w:ascii="仿宋" w:hAnsi="仿宋" w:eastAsia="仿宋" w:cs="仿宋"/>
              <w:sz w:val="28"/>
              <w:szCs w:val="28"/>
            </w:rPr>
            <w:t>45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1"/>
            <w:tabs>
              <w:tab w:val="right" w:leader="dot" w:pos="8306"/>
            </w:tabs>
            <w:ind w:left="420"/>
            <w:rPr>
              <w:rFonts w:ascii="仿宋" w:hAnsi="仿宋" w:eastAsia="仿宋" w:cs="仿宋"/>
              <w:sz w:val="28"/>
              <w:szCs w:val="28"/>
            </w:rPr>
          </w:pPr>
          <w:r>
            <w:fldChar w:fldCharType="begin"/>
          </w:r>
          <w:r>
            <w:instrText xml:space="preserve"> HYPERLINK \l "_Toc25475" </w:instrText>
          </w:r>
          <w:r>
            <w:fldChar w:fldCharType="separate"/>
          </w:r>
          <w:r>
            <w:rPr>
              <w:rFonts w:hint="eastAsia" w:ascii="仿宋" w:hAnsi="仿宋" w:eastAsia="仿宋" w:cs="仿宋"/>
              <w:sz w:val="28"/>
              <w:szCs w:val="28"/>
            </w:rPr>
            <w:t>十一、政府性基金预算财政拨款收入支出决算表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_Toc25475 \h </w:instrText>
          </w:r>
          <w:r>
            <w:rPr>
              <w:rFonts w:hint="eastAsia" w:ascii="仿宋" w:hAnsi="仿宋" w:eastAsia="仿宋" w:cs="仿宋"/>
              <w:sz w:val="28"/>
              <w:szCs w:val="28"/>
            </w:rPr>
            <w:fldChar w:fldCharType="separate"/>
          </w:r>
          <w:r>
            <w:rPr>
              <w:rFonts w:hint="eastAsia" w:ascii="仿宋" w:hAnsi="仿宋" w:eastAsia="仿宋" w:cs="仿宋"/>
              <w:sz w:val="28"/>
              <w:szCs w:val="28"/>
            </w:rPr>
            <w:t>45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1"/>
            <w:tabs>
              <w:tab w:val="right" w:leader="dot" w:pos="8306"/>
            </w:tabs>
            <w:ind w:left="420"/>
            <w:rPr>
              <w:rFonts w:ascii="仿宋" w:hAnsi="仿宋" w:eastAsia="仿宋" w:cs="仿宋"/>
              <w:sz w:val="28"/>
              <w:szCs w:val="28"/>
            </w:rPr>
          </w:pPr>
          <w:r>
            <w:fldChar w:fldCharType="begin"/>
          </w:r>
          <w:r>
            <w:instrText xml:space="preserve"> HYPERLINK \l "_Toc16305" </w:instrText>
          </w:r>
          <w:r>
            <w:fldChar w:fldCharType="separate"/>
          </w:r>
          <w:r>
            <w:rPr>
              <w:rFonts w:hint="eastAsia" w:ascii="仿宋" w:hAnsi="仿宋" w:eastAsia="仿宋" w:cs="仿宋"/>
              <w:sz w:val="28"/>
              <w:szCs w:val="28"/>
            </w:rPr>
            <w:t>十二、政府性基金预算财政拨款“三公”经费支出决算表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_Toc16305 \h </w:instrText>
          </w:r>
          <w:r>
            <w:rPr>
              <w:rFonts w:hint="eastAsia" w:ascii="仿宋" w:hAnsi="仿宋" w:eastAsia="仿宋" w:cs="仿宋"/>
              <w:sz w:val="28"/>
              <w:szCs w:val="28"/>
            </w:rPr>
            <w:fldChar w:fldCharType="separate"/>
          </w:r>
          <w:r>
            <w:rPr>
              <w:rFonts w:hint="eastAsia" w:ascii="仿宋" w:hAnsi="仿宋" w:eastAsia="仿宋" w:cs="仿宋"/>
              <w:sz w:val="28"/>
              <w:szCs w:val="28"/>
            </w:rPr>
            <w:t>45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1"/>
            <w:tabs>
              <w:tab w:val="right" w:leader="dot" w:pos="8306"/>
            </w:tabs>
            <w:ind w:left="420"/>
            <w:rPr>
              <w:rFonts w:ascii="仿宋" w:hAnsi="仿宋" w:eastAsia="仿宋" w:cs="仿宋"/>
              <w:sz w:val="28"/>
              <w:szCs w:val="28"/>
            </w:rPr>
          </w:pPr>
          <w:r>
            <w:fldChar w:fldCharType="begin"/>
          </w:r>
          <w:r>
            <w:instrText xml:space="preserve"> HYPERLINK \l "_Toc12310" </w:instrText>
          </w:r>
          <w:r>
            <w:fldChar w:fldCharType="separate"/>
          </w:r>
          <w:r>
            <w:rPr>
              <w:rFonts w:hint="eastAsia" w:ascii="仿宋" w:hAnsi="仿宋" w:eastAsia="仿宋" w:cs="仿宋"/>
              <w:sz w:val="28"/>
              <w:szCs w:val="28"/>
            </w:rPr>
            <w:t>十三、国有资本经营预算财政拨款收入支出决算表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_Toc12310 \h </w:instrText>
          </w:r>
          <w:r>
            <w:rPr>
              <w:rFonts w:hint="eastAsia" w:ascii="仿宋" w:hAnsi="仿宋" w:eastAsia="仿宋" w:cs="仿宋"/>
              <w:sz w:val="28"/>
              <w:szCs w:val="28"/>
            </w:rPr>
            <w:fldChar w:fldCharType="separate"/>
          </w:r>
          <w:r>
            <w:rPr>
              <w:rFonts w:hint="eastAsia" w:ascii="仿宋" w:hAnsi="仿宋" w:eastAsia="仿宋" w:cs="仿宋"/>
              <w:sz w:val="28"/>
              <w:szCs w:val="28"/>
            </w:rPr>
            <w:t>45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1"/>
            <w:tabs>
              <w:tab w:val="right" w:leader="dot" w:pos="8306"/>
            </w:tabs>
            <w:ind w:left="420"/>
            <w:rPr>
              <w:rFonts w:ascii="仿宋" w:hAnsi="仿宋" w:eastAsia="仿宋" w:cs="仿宋"/>
              <w:sz w:val="32"/>
              <w:szCs w:val="32"/>
            </w:rPr>
          </w:pPr>
          <w:r>
            <w:fldChar w:fldCharType="begin"/>
          </w:r>
          <w:r>
            <w:instrText xml:space="preserve"> HYPERLINK \l "_Toc16139" </w:instrText>
          </w:r>
          <w:r>
            <w:fldChar w:fldCharType="separate"/>
          </w:r>
          <w:r>
            <w:rPr>
              <w:rFonts w:hint="eastAsia" w:ascii="仿宋" w:hAnsi="仿宋" w:eastAsia="仿宋" w:cs="仿宋"/>
              <w:sz w:val="28"/>
              <w:szCs w:val="28"/>
            </w:rPr>
            <w:t>十四、国有资本经营预算财政拨款支出决算表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_Toc16139 \h </w:instrText>
          </w:r>
          <w:r>
            <w:rPr>
              <w:rFonts w:hint="eastAsia" w:ascii="仿宋" w:hAnsi="仿宋" w:eastAsia="仿宋" w:cs="仿宋"/>
              <w:sz w:val="28"/>
              <w:szCs w:val="28"/>
            </w:rPr>
            <w:fldChar w:fldCharType="separate"/>
          </w:r>
          <w:r>
            <w:rPr>
              <w:rFonts w:hint="eastAsia" w:ascii="仿宋" w:hAnsi="仿宋" w:eastAsia="仿宋" w:cs="仿宋"/>
              <w:sz w:val="28"/>
              <w:szCs w:val="28"/>
            </w:rPr>
            <w:t>45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
            <w:spacing w:before="93"/>
            <w:rPr>
              <w:rFonts w:ascii="仿宋" w:hAnsi="仿宋" w:eastAsia="仿宋" w:cs="仿宋"/>
              <w:b/>
              <w:sz w:val="32"/>
              <w:szCs w:val="32"/>
            </w:rPr>
          </w:pPr>
          <w:r>
            <w:rPr>
              <w:rFonts w:hint="eastAsia" w:ascii="仿宋" w:hAnsi="仿宋" w:eastAsia="仿宋" w:cs="仿宋"/>
              <w:b/>
              <w:sz w:val="32"/>
              <w:szCs w:val="32"/>
            </w:rPr>
            <w:fldChar w:fldCharType="end"/>
          </w:r>
        </w:p>
        <w:p>
          <w:pPr>
            <w:pStyle w:val="2"/>
            <w:spacing w:before="93"/>
            <w:rPr>
              <w:rFonts w:ascii="仿宋" w:hAnsi="仿宋" w:eastAsia="仿宋" w:cs="仿宋"/>
              <w:b/>
              <w:sz w:val="32"/>
              <w:szCs w:val="32"/>
            </w:rPr>
          </w:pPr>
        </w:p>
        <w:p>
          <w:pPr>
            <w:pStyle w:val="2"/>
            <w:spacing w:before="93"/>
            <w:rPr>
              <w:rFonts w:ascii="仿宋" w:hAnsi="仿宋" w:eastAsia="仿宋" w:cs="仿宋"/>
              <w:b/>
              <w:sz w:val="32"/>
              <w:szCs w:val="32"/>
            </w:rPr>
          </w:pPr>
        </w:p>
        <w:p>
          <w:pPr>
            <w:pStyle w:val="2"/>
            <w:spacing w:before="93"/>
            <w:rPr>
              <w:rFonts w:ascii="仿宋" w:hAnsi="仿宋" w:eastAsia="仿宋" w:cs="仿宋"/>
              <w:b/>
              <w:sz w:val="32"/>
              <w:szCs w:val="32"/>
            </w:rPr>
          </w:pPr>
        </w:p>
        <w:p>
          <w:pPr>
            <w:pStyle w:val="2"/>
            <w:spacing w:before="93"/>
            <w:rPr>
              <w:rFonts w:ascii="仿宋" w:hAnsi="仿宋" w:eastAsia="仿宋" w:cs="仿宋"/>
              <w:b/>
              <w:sz w:val="32"/>
              <w:szCs w:val="32"/>
            </w:rPr>
          </w:pPr>
        </w:p>
        <w:p>
          <w:pPr>
            <w:pStyle w:val="2"/>
            <w:spacing w:before="93"/>
            <w:rPr>
              <w:rFonts w:ascii="仿宋" w:hAnsi="仿宋" w:eastAsia="仿宋" w:cs="仿宋"/>
              <w:b/>
              <w:sz w:val="32"/>
              <w:szCs w:val="32"/>
            </w:rPr>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p>
          <w:pPr>
            <w:pStyle w:val="2"/>
            <w:spacing w:beforeLines="0" w:line="20" w:lineRule="exact"/>
            <w:rPr>
              <w:rFonts w:ascii="仿宋" w:hAnsi="仿宋" w:eastAsia="仿宋" w:cs="仿宋"/>
              <w:sz w:val="32"/>
              <w:szCs w:val="32"/>
            </w:rPr>
          </w:pPr>
        </w:p>
      </w:sdtContent>
    </w:sdt>
    <w:p>
      <w:pPr>
        <w:pStyle w:val="3"/>
        <w:jc w:val="center"/>
      </w:pPr>
      <w:bookmarkStart w:id="17" w:name="_Toc32688"/>
      <w:r>
        <w:rPr>
          <w:rFonts w:hint="eastAsia"/>
        </w:rPr>
        <w:t>第一部分 单位概况</w:t>
      </w:r>
      <w:bookmarkEnd w:id="15"/>
      <w:bookmarkEnd w:id="16"/>
      <w:bookmarkEnd w:id="17"/>
    </w:p>
    <w:p>
      <w:pPr>
        <w:pStyle w:val="4"/>
        <w:numPr>
          <w:ilvl w:val="0"/>
          <w:numId w:val="1"/>
        </w:numPr>
        <w:ind w:firstLine="640"/>
        <w:rPr>
          <w:rFonts w:ascii="Times New Roman" w:hAnsi="Times New Roman" w:cs="Times New Roman"/>
        </w:rPr>
      </w:pPr>
      <w:bookmarkStart w:id="18" w:name="_Toc20976"/>
      <w:bookmarkStart w:id="19" w:name="_Toc15377197"/>
      <w:bookmarkStart w:id="20" w:name="_Toc15396600"/>
      <w:r>
        <w:rPr>
          <w:rFonts w:ascii="Times New Roman" w:hAnsi="Times New Roman" w:cs="Times New Roman"/>
        </w:rPr>
        <w:t>职能简介</w:t>
      </w:r>
      <w:bookmarkEnd w:id="18"/>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（一）承办拟定农村水利地方性法规、政策、发展战略、发展规划等事务性和技术性工作；</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（二）承办大中型灌区续建配套节水改造、大中型灌排泵站续建配套、大型灌区水毁修复、牧区水利、农村小型水源工程等农村水利重点建设项目管理等相关事务性工作，协调大型灌区管理单位业务工作；</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（三）承办农村供水工程建设与管理有关事务性工作；</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（四）承办水利工程管理体制改革、农村水利社会化服务体系和基层水利服务体系及农业水价综合改革等有关事务性工作；</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（五）承办已成水库、水闸（水库、灌区内） 等水利工程的运行管理与划界，水利设施的安全、管理、保护和综合利用工作，参与涉及水利工程及管理和保护范围的涉河（灌排兼用河道）建设项目管理等有关事务性工作；</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六）承办水库大坝、水闸（水库、灌区内）注册登记、水库大坝降等报废、水库运行调度规程编制以及水库、水闸等水利工程管理标准化等有关事务性工作，承办水库大坝、水闸（水库、灌区内）安全鉴定、水利工程安全监测及运行管理考核、小型病险水库除险加固、水利工程维修养护和白蚁防治等事务性工作；</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（七）承办全省已成水利工程的用水管理、水生态保护、工程蓄水保水等事务性工作；</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（八）负责灌溉实验、节水灌溉、农村供水等课题研究、试验示范和推广培训等工作；</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（九）承办水利风景区（河湖公园）相关工作；</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（十）协助参与水利工程管理和保护范围有关违法违规行为的处罚和强制相关事务性工作；</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（十一）承担干旱防治规划编制和实施相关事务性工作，承办抗御旱灾预案编制、旱情信息报送和预警、干旱影响评估等相关工作；</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（十二）承办水利厅职责范围内农田水利基本建设相关事务性工作；</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（十三）承办水利厅交办的其他事项。</w:t>
      </w:r>
    </w:p>
    <w:p>
      <w:pPr>
        <w:pStyle w:val="4"/>
        <w:numPr>
          <w:ilvl w:val="0"/>
          <w:numId w:val="1"/>
        </w:numPr>
        <w:ind w:firstLine="640"/>
        <w:rPr>
          <w:rFonts w:ascii="Times New Roman" w:hAnsi="Times New Roman" w:cs="Times New Roman"/>
        </w:rPr>
      </w:pPr>
      <w:bookmarkStart w:id="21" w:name="_Toc25145"/>
      <w:r>
        <w:rPr>
          <w:rFonts w:ascii="Times New Roman" w:hAnsi="Times New Roman" w:cs="Times New Roman"/>
        </w:rPr>
        <w:t>2020年重点工作</w:t>
      </w:r>
      <w:bookmarkEnd w:id="19"/>
      <w:bookmarkEnd w:id="20"/>
      <w:r>
        <w:rPr>
          <w:rFonts w:ascii="Times New Roman" w:hAnsi="Times New Roman" w:cs="Times New Roman"/>
        </w:rPr>
        <w:t>完成情况</w:t>
      </w:r>
      <w:bookmarkEnd w:id="21"/>
    </w:p>
    <w:p>
      <w:pPr>
        <w:pStyle w:val="2"/>
        <w:adjustRightInd w:val="0"/>
        <w:snapToGrid w:val="0"/>
        <w:spacing w:before="93" w:line="560" w:lineRule="exact"/>
        <w:ind w:firstLine="672" w:firstLineChars="210"/>
        <w:outlineLvl w:val="2"/>
        <w:rPr>
          <w:rFonts w:ascii="Times New Roman" w:eastAsia="仿宋"/>
          <w:sz w:val="32"/>
          <w:szCs w:val="32"/>
        </w:rPr>
      </w:pPr>
      <w:r>
        <w:rPr>
          <w:rFonts w:ascii="Times New Roman" w:eastAsia="仿宋"/>
          <w:sz w:val="32"/>
          <w:szCs w:val="32"/>
        </w:rPr>
        <w:t>坚持疫情防控和农村水利改革发展两手抓，围绕“1143”工作思路，扎实推进年度目标任务，实现了安全与发展双胜利，“十三五”圆满收官。一是聚焦“一个中心”，脱贫攻坚饮水安全取得决定性胜利。全面完成凉山州7个深度贫困县脱贫攻坚饮水安全任务，全省建档立卡贫困人口饮水不安全问题全部解决。聚焦脱贫攻坚饮水安全“四项指标”全覆盖开展达标复核，强化饮水安全评估与风险排查，确保不出现连片、整村断水停水和严重水质超标等颠覆性农村饮水问题，实现建档立卡贫困人口饮水全部稳定达标。二是围绕“一条主线”，水美新村建设体制机制更加完善。认真落实</w:t>
      </w:r>
      <w:r>
        <w:rPr>
          <w:rFonts w:hint="eastAsia" w:ascii="Times New Roman" w:eastAsia="仿宋"/>
          <w:sz w:val="32"/>
          <w:szCs w:val="32"/>
        </w:rPr>
        <w:t>厅党组</w:t>
      </w:r>
      <w:r>
        <w:rPr>
          <w:rFonts w:ascii="Times New Roman" w:eastAsia="仿宋"/>
          <w:sz w:val="32"/>
          <w:szCs w:val="32"/>
        </w:rPr>
        <w:t>“将水美新村建设作为水利助力乡村振兴的总抓手”要求，进一步丰富水美新村建设理念和内涵，完善水美新村建设指导意见，制定“十四五”水美新村建设分类达标指标，形成了标准化、规范化、差异化发展的体制机制，再建成水美新村1000个，开展了水美新村典型村网络评选活动，社会影响力不断提高。三是确保“四个安全”，农村水利建设管理深入推进。供水安全方面，巩固提升受益人口300万人。解决31681人饮水型氟超标问题。维修集中供水工程7075处，覆盖621.38万人。完成集中供水工程水费定价，已收费工程占比98.85%，水费收缴率94.5%。推进供水工程规范化管理，完成8340处参评工程抽查复核。农业用水安全方面，2个大型灌区和11个重点中型灌区续建配套与节水改造分别完成中央投资94%、90%，超额完成年度目标。太阳能泵站新增装机1757千瓦。有效应对盆地西北部、东北部局部及攀西地区较为严重的冬春夏连旱。工程安全方面，实施小型病险水库除险加固611座</w:t>
      </w:r>
      <w:r>
        <w:rPr>
          <w:rFonts w:hint="eastAsia" w:ascii="Times New Roman" w:eastAsia="仿宋"/>
          <w:sz w:val="32"/>
          <w:szCs w:val="32"/>
        </w:rPr>
        <w:t>，</w:t>
      </w:r>
      <w:r>
        <w:rPr>
          <w:rFonts w:ascii="Times New Roman" w:eastAsia="仿宋"/>
          <w:sz w:val="32"/>
          <w:szCs w:val="32"/>
        </w:rPr>
        <w:t>水库全部实现安全度汛，未因工作不到位导致水库出险。压紧压实农村水利安全生产责任，全年未发生安全事故。水生态安全方面，创建省级水利风景区8个、河湖公园2个。环保督察反馈问题整改达到要求，</w:t>
      </w:r>
      <w:r>
        <w:rPr>
          <w:rFonts w:ascii="Times New Roman" w:eastAsia="仿宋"/>
          <w:sz w:val="32"/>
          <w:szCs w:val="32"/>
          <w:lang w:val="zh-TW" w:eastAsia="zh-TW"/>
        </w:rPr>
        <w:t>治理内江水库</w:t>
      </w:r>
      <w:r>
        <w:rPr>
          <w:rFonts w:ascii="Times New Roman" w:eastAsia="仿宋"/>
          <w:sz w:val="32"/>
          <w:szCs w:val="32"/>
        </w:rPr>
        <w:t>水质108座，实施沱江流域塘坝综合整治621处，</w:t>
      </w:r>
      <w:r>
        <w:rPr>
          <w:rFonts w:ascii="Times New Roman" w:eastAsia="仿宋"/>
          <w:sz w:val="32"/>
          <w:szCs w:val="32"/>
          <w:lang w:val="zh-TW"/>
        </w:rPr>
        <w:t>红旗分干渠</w:t>
      </w:r>
      <w:r>
        <w:rPr>
          <w:rFonts w:ascii="Times New Roman" w:eastAsia="仿宋"/>
          <w:sz w:val="32"/>
          <w:szCs w:val="32"/>
        </w:rPr>
        <w:t>主体已完工。四是注重“三个强化”，农村水利治理体系不断完善。</w:t>
      </w:r>
      <w:r>
        <w:rPr>
          <w:rFonts w:ascii="Times New Roman" w:eastAsia="仿宋"/>
          <w:sz w:val="32"/>
          <w:szCs w:val="32"/>
          <w:lang w:val="zh-TW"/>
        </w:rPr>
        <w:t>依法治理</w:t>
      </w:r>
      <w:r>
        <w:rPr>
          <w:rFonts w:ascii="Times New Roman" w:eastAsia="仿宋"/>
          <w:sz w:val="32"/>
          <w:szCs w:val="32"/>
        </w:rPr>
        <w:t>方面，强化法律法规的完善和执行，出台</w:t>
      </w:r>
      <w:r>
        <w:rPr>
          <w:rFonts w:ascii="Times New Roman" w:eastAsia="仿宋"/>
          <w:sz w:val="32"/>
          <w:szCs w:val="32"/>
          <w:lang w:val="zh-TW"/>
        </w:rPr>
        <w:t>《四川省建设项目占用水利工程及其附属设施补偿办法》</w:t>
      </w:r>
      <w:r>
        <w:rPr>
          <w:rFonts w:ascii="Times New Roman" w:eastAsia="仿宋"/>
          <w:sz w:val="32"/>
          <w:szCs w:val="32"/>
        </w:rPr>
        <w:t>，</w:t>
      </w:r>
      <w:r>
        <w:rPr>
          <w:rFonts w:ascii="Times New Roman" w:eastAsia="仿宋"/>
          <w:sz w:val="32"/>
          <w:szCs w:val="32"/>
          <w:lang w:val="zh-TW"/>
        </w:rPr>
        <w:t>完成《四川省升钟水库生态环境保护条例》立法评估报告。</w:t>
      </w:r>
      <w:r>
        <w:rPr>
          <w:rFonts w:ascii="Times New Roman" w:eastAsia="仿宋"/>
          <w:sz w:val="32"/>
          <w:szCs w:val="32"/>
        </w:rPr>
        <w:t>代厅开展水利工程范围内建设项目行政审批审查96份（次）。依法督促整改</w:t>
      </w:r>
      <w:r>
        <w:rPr>
          <w:rFonts w:ascii="Times New Roman" w:eastAsia="仿宋"/>
          <w:sz w:val="32"/>
          <w:szCs w:val="32"/>
          <w:lang w:val="zh-TW"/>
        </w:rPr>
        <w:t>农水领域乱点乱象132条。高效监管</w:t>
      </w:r>
      <w:r>
        <w:rPr>
          <w:rFonts w:ascii="Times New Roman" w:eastAsia="仿宋"/>
          <w:sz w:val="32"/>
          <w:szCs w:val="32"/>
        </w:rPr>
        <w:t>方面，全年派出13个工作组357人次，监督检查项目962个，发现并督促整改问题1930个。深入开展农村水利验收“三年行动”，对6大类1042个子项目进行全覆盖、全方位监督检查、查漏补缺，已完成1013个项目验收，占97.2%。改革落地方面，出台《关于探索建立省管大型灌区直接管理水利工程维修养护、应急抢险抢修和重大水毁修复保障机制的指导意见》，解决长期制约水管单位发展稳定的大问题。水库、灌区、供水标准化、规范化、物业化管理深入推进。完成农业水价综合改革面积862.56万亩。在毗河开展“管养分离”试点。完成第一批12个深化小型水库管理体制改革示范县创建验收评估审核，东坡区、中江县、威远县列入全国样板县名单，数量并列全国第一。</w:t>
      </w:r>
    </w:p>
    <w:p>
      <w:pPr>
        <w:pStyle w:val="4"/>
        <w:rPr>
          <w:rFonts w:hint="default" w:ascii="Times New Roman" w:hAnsi="Times New Roman" w:eastAsia="黑体" w:cs="Times New Roman"/>
          <w:b w:val="0"/>
          <w:lang w:val="en-US" w:eastAsia="zh-CN"/>
        </w:rPr>
      </w:pPr>
      <w:bookmarkStart w:id="22" w:name="_Toc15396602"/>
      <w:bookmarkStart w:id="23" w:name="_Toc15377204"/>
      <w:bookmarkStart w:id="24" w:name="_Toc22130"/>
      <w:r>
        <w:rPr>
          <w:rFonts w:hint="eastAsia" w:ascii="Times New Roman" w:hAnsi="Times New Roman" w:eastAsia="黑体" w:cs="Times New Roman"/>
          <w:b w:val="0"/>
          <w:lang w:val="en-US" w:eastAsia="zh-CN"/>
        </w:rPr>
        <w:t>三、机构设置情况</w:t>
      </w:r>
    </w:p>
    <w:p>
      <w:pPr>
        <w:spacing w:before="104" w:line="219" w:lineRule="auto"/>
        <w:ind w:firstLine="640" w:firstLineChars="200"/>
        <w:rPr>
          <w:rFonts w:hint="default" w:ascii="宋体" w:hAnsi="宋体" w:eastAsia="宋体" w:cs="宋体"/>
          <w:sz w:val="32"/>
          <w:szCs w:val="32"/>
          <w:lang w:val="en-US" w:eastAsia="zh-CN"/>
        </w:rPr>
      </w:pPr>
      <w:r>
        <w:rPr>
          <w:rFonts w:hint="eastAsia" w:ascii="仿宋" w:hAnsi="仿宋" w:eastAsia="仿宋" w:cs="仿宋"/>
          <w:sz w:val="32"/>
          <w:szCs w:val="32"/>
          <w:lang w:val="en-US" w:eastAsia="zh-CN"/>
        </w:rPr>
        <w:t>四川省农田水利局</w:t>
      </w:r>
      <w:r>
        <w:rPr>
          <w:rFonts w:hint="eastAsia" w:ascii="Times New Roman" w:hAnsi="Times New Roman" w:eastAsia="仿宋" w:cs="Times New Roman"/>
          <w:sz w:val="32"/>
          <w:szCs w:val="32"/>
          <w:lang w:val="en-US" w:eastAsia="zh-CN"/>
        </w:rPr>
        <w:t>设10个内设机构，分别</w:t>
      </w:r>
      <w:r>
        <w:rPr>
          <w:rFonts w:hint="eastAsia" w:ascii="仿宋" w:hAnsi="仿宋" w:eastAsia="仿宋" w:cs="仿宋"/>
          <w:sz w:val="32"/>
          <w:szCs w:val="32"/>
          <w:lang w:val="en-US" w:eastAsia="zh-CN"/>
        </w:rPr>
        <w:t>是：办公室、党委办公室、纪委办公室(审计科)、人事科( 离退休人员工作科)、计划财务科、水库事务科、农村水利科、灌区事务科、供水排水科及旱灾防御科。</w:t>
      </w:r>
      <w:bookmarkStart w:id="100" w:name="_GoBack"/>
      <w:bookmarkEnd w:id="100"/>
    </w:p>
    <w:p>
      <w:pPr>
        <w:pStyle w:val="3"/>
        <w:jc w:val="center"/>
      </w:pPr>
    </w:p>
    <w:p/>
    <w:p>
      <w:pPr>
        <w:pStyle w:val="3"/>
        <w:ind w:firstLine="442" w:firstLineChars="100"/>
        <w:jc w:val="both"/>
      </w:pPr>
      <w:r>
        <w:t>第二部分 2020年度</w:t>
      </w:r>
      <w:r>
        <w:rPr>
          <w:rFonts w:hint="eastAsia"/>
          <w:lang w:eastAsia="zh-CN"/>
        </w:rPr>
        <w:t>单位</w:t>
      </w:r>
      <w:r>
        <w:t>决算情况说明</w:t>
      </w:r>
      <w:bookmarkEnd w:id="22"/>
      <w:bookmarkEnd w:id="23"/>
      <w:bookmarkEnd w:id="24"/>
    </w:p>
    <w:p>
      <w:pPr>
        <w:pStyle w:val="4"/>
        <w:ind w:left="420" w:leftChars="200" w:firstLine="0" w:firstLineChars="0"/>
        <w:rPr>
          <w:rFonts w:ascii="Times New Roman" w:hAnsi="Times New Roman" w:cs="Times New Roman"/>
        </w:rPr>
      </w:pPr>
      <w:bookmarkStart w:id="25" w:name="_Toc15377205"/>
      <w:bookmarkStart w:id="26" w:name="_Toc7159"/>
      <w:bookmarkStart w:id="27" w:name="_Toc15396603"/>
      <w:r>
        <w:rPr>
          <w:rFonts w:hint="eastAsia" w:ascii="Times New Roman" w:hAnsi="Times New Roman" w:cs="Times New Roman"/>
        </w:rPr>
        <w:t>一、</w:t>
      </w:r>
      <w:r>
        <w:rPr>
          <w:rFonts w:ascii="Times New Roman" w:hAnsi="Times New Roman" w:cs="Times New Roman"/>
        </w:rPr>
        <w:t>收入支出决算总体情况说明</w:t>
      </w:r>
      <w:bookmarkEnd w:id="25"/>
      <w:bookmarkEnd w:id="26"/>
      <w:bookmarkEnd w:id="27"/>
    </w:p>
    <w:p>
      <w:pPr>
        <w:pStyle w:val="2"/>
        <w:adjustRightInd w:val="0"/>
        <w:snapToGrid w:val="0"/>
        <w:spacing w:before="93" w:line="600" w:lineRule="exact"/>
        <w:ind w:firstLine="672" w:firstLineChars="210"/>
        <w:outlineLvl w:val="2"/>
        <w:rPr>
          <w:rFonts w:ascii="Times New Roman" w:eastAsia="仿宋"/>
          <w:sz w:val="32"/>
          <w:szCs w:val="32"/>
        </w:rPr>
      </w:pPr>
      <w:r>
        <w:rPr>
          <w:rFonts w:ascii="Times New Roman" w:eastAsia="仿宋"/>
          <w:sz w:val="32"/>
          <w:szCs w:val="32"/>
        </w:rPr>
        <w:t>2020年度收、支总计2734.01万元。与2019年相比，收、支总计各减少182.98万元、176.79万元，分别下降6.27%、6.07%。主要变动原因是机构改革，经费调整缩减。</w:t>
      </w:r>
    </w:p>
    <w:p>
      <w:pPr>
        <w:pStyle w:val="2"/>
        <w:adjustRightInd w:val="0"/>
        <w:snapToGrid w:val="0"/>
        <w:spacing w:before="93" w:line="600" w:lineRule="exact"/>
        <w:ind w:firstLine="630" w:firstLineChars="210"/>
        <w:outlineLvl w:val="2"/>
        <w:rPr>
          <w:rFonts w:ascii="楷体" w:hAnsi="楷体" w:eastAsia="楷体"/>
          <w:sz w:val="32"/>
          <w:szCs w:val="32"/>
        </w:rPr>
      </w:pPr>
      <w:bookmarkStart w:id="28" w:name="_Toc28809"/>
      <w:r>
        <w:rPr>
          <w:rFonts w:ascii="Times New Roman"/>
        </w:rPr>
        <w:drawing>
          <wp:anchor distT="0" distB="0" distL="114300" distR="114300" simplePos="0" relativeHeight="251659264" behindDoc="0" locked="0" layoutInCell="1" allowOverlap="1">
            <wp:simplePos x="0" y="0"/>
            <wp:positionH relativeFrom="column">
              <wp:posOffset>320040</wp:posOffset>
            </wp:positionH>
            <wp:positionV relativeFrom="paragraph">
              <wp:posOffset>168275</wp:posOffset>
            </wp:positionV>
            <wp:extent cx="4572000" cy="2301875"/>
            <wp:effectExtent l="0" t="0" r="0" b="3175"/>
            <wp:wrapTopAndBottom/>
            <wp:docPr id="15"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楷体" w:hAnsi="楷体" w:eastAsia="楷体"/>
          <w:sz w:val="32"/>
          <w:szCs w:val="32"/>
        </w:rPr>
        <w:t>图1：收、支决算总计变动情况图（单位：万元）</w:t>
      </w:r>
    </w:p>
    <w:p>
      <w:pPr>
        <w:pStyle w:val="4"/>
        <w:ind w:firstLine="640"/>
        <w:rPr>
          <w:rFonts w:ascii="Times New Roman" w:hAnsi="Times New Roman" w:cs="Times New Roman"/>
        </w:rPr>
      </w:pPr>
      <w:bookmarkStart w:id="29" w:name="_Toc15377206"/>
      <w:bookmarkStart w:id="30" w:name="_Toc15396604"/>
      <w:r>
        <w:rPr>
          <w:rFonts w:ascii="Times New Roman" w:hAnsi="Times New Roman" w:cs="Times New Roman"/>
        </w:rPr>
        <w:t>二、收入决算情况说明</w:t>
      </w:r>
      <w:bookmarkEnd w:id="28"/>
      <w:bookmarkEnd w:id="29"/>
      <w:bookmarkEnd w:id="30"/>
    </w:p>
    <w:p>
      <w:pPr>
        <w:spacing w:line="560" w:lineRule="exact"/>
        <w:ind w:firstLine="640" w:firstLineChars="200"/>
        <w:jc w:val="left"/>
        <w:rPr>
          <w:rFonts w:eastAsia="仿宋"/>
          <w:sz w:val="32"/>
          <w:szCs w:val="32"/>
        </w:rPr>
      </w:pPr>
      <w:r>
        <w:rPr>
          <w:rFonts w:eastAsia="仿宋"/>
          <w:sz w:val="32"/>
          <w:szCs w:val="32"/>
        </w:rPr>
        <w:t>2020年本年收入合计2734.01万元，其中：一般公共预算财政拨款收入2734.01万元，占100%；政府性基金预算财政拨款收入0万元，占0%；上级补助收入0万元，占0%；事业收入0万元，占0%；经营收入0万元，占0%；附属单位上缴收入0万元，占0%；其他收入0万元，占0%。</w:t>
      </w:r>
    </w:p>
    <w:p>
      <w:pPr>
        <w:pStyle w:val="2"/>
        <w:adjustRightInd w:val="0"/>
        <w:snapToGrid w:val="0"/>
        <w:spacing w:before="93" w:line="600" w:lineRule="exact"/>
        <w:ind w:firstLine="672" w:firstLineChars="210"/>
        <w:jc w:val="center"/>
        <w:outlineLvl w:val="2"/>
        <w:rPr>
          <w:rFonts w:eastAsia="仿宋"/>
          <w:color w:val="000000" w:themeColor="text1"/>
          <w:sz w:val="32"/>
          <w:szCs w:val="32"/>
          <w14:textFill>
            <w14:solidFill>
              <w14:schemeClr w14:val="tx1"/>
            </w14:solidFill>
          </w14:textFill>
        </w:rPr>
      </w:pPr>
      <w:bookmarkStart w:id="31" w:name="_Toc8284"/>
      <w:r>
        <w:rPr>
          <w:rFonts w:ascii="楷体" w:hAnsi="楷体" w:eastAsia="楷体"/>
          <w:sz w:val="32"/>
          <w:szCs w:val="32"/>
        </w:rPr>
        <w:drawing>
          <wp:anchor distT="0" distB="0" distL="114300" distR="114300" simplePos="0" relativeHeight="251663360" behindDoc="0" locked="0" layoutInCell="1" allowOverlap="1">
            <wp:simplePos x="0" y="0"/>
            <wp:positionH relativeFrom="column">
              <wp:posOffset>1028065</wp:posOffset>
            </wp:positionH>
            <wp:positionV relativeFrom="paragraph">
              <wp:posOffset>-8714740</wp:posOffset>
            </wp:positionV>
            <wp:extent cx="3927475" cy="2138680"/>
            <wp:effectExtent l="0" t="0" r="15875" b="13970"/>
            <wp:wrapTopAndBottom/>
            <wp:docPr id="17" name="图表 16" descr="7b0a202020202263686172745265734964223a2022383733373733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ascii="楷体" w:hAnsi="楷体" w:eastAsia="楷体"/>
          <w:sz w:val="32"/>
          <w:szCs w:val="32"/>
        </w:rPr>
        <w:t>图2：收入决算结构图</w:t>
      </w:r>
    </w:p>
    <w:p>
      <w:pPr>
        <w:pStyle w:val="4"/>
        <w:ind w:firstLine="640"/>
        <w:rPr>
          <w:rFonts w:ascii="Times New Roman" w:hAnsi="Times New Roman" w:cs="Times New Roman"/>
        </w:rPr>
      </w:pPr>
      <w:bookmarkStart w:id="32" w:name="_Toc15377207"/>
      <w:bookmarkStart w:id="33" w:name="_Toc15396605"/>
      <w:r>
        <w:rPr>
          <w:rFonts w:ascii="Times New Roman" w:hAnsi="Times New Roman" w:cs="Times New Roman"/>
        </w:rPr>
        <w:t>三、支出决算情况说明</w:t>
      </w:r>
      <w:bookmarkEnd w:id="31"/>
      <w:bookmarkEnd w:id="32"/>
      <w:bookmarkEnd w:id="33"/>
    </w:p>
    <w:p>
      <w:pPr>
        <w:spacing w:line="600" w:lineRule="exact"/>
        <w:ind w:firstLine="640" w:firstLineChars="200"/>
        <w:rPr>
          <w:rFonts w:eastAsia="仿宋"/>
          <w:sz w:val="32"/>
          <w:szCs w:val="32"/>
        </w:rPr>
      </w:pPr>
      <w:r>
        <w:rPr>
          <w:rFonts w:eastAsia="仿宋"/>
          <w:sz w:val="32"/>
          <w:szCs w:val="32"/>
        </w:rPr>
        <w:t>2020年本年支出合计2734.01万元，其中：基本支出2585.</w:t>
      </w:r>
      <w:r>
        <w:rPr>
          <w:rFonts w:hint="eastAsia" w:eastAsia="仿宋"/>
          <w:sz w:val="32"/>
          <w:szCs w:val="32"/>
        </w:rPr>
        <w:t>2</w:t>
      </w:r>
      <w:r>
        <w:rPr>
          <w:rFonts w:eastAsia="仿宋"/>
          <w:sz w:val="32"/>
          <w:szCs w:val="32"/>
        </w:rPr>
        <w:t>1万元，占94.56%；项目支出148.8万元，占5.44%；上缴上级支出0万元，占0%；经营支出0万元，占0%；对附属单位补助支出0万元，占0%。</w:t>
      </w:r>
    </w:p>
    <w:p>
      <w:pPr>
        <w:pStyle w:val="2"/>
        <w:adjustRightInd w:val="0"/>
        <w:snapToGrid w:val="0"/>
        <w:spacing w:before="93" w:line="600" w:lineRule="exact"/>
        <w:ind w:firstLine="630" w:firstLineChars="210"/>
        <w:jc w:val="center"/>
        <w:outlineLvl w:val="2"/>
        <w:rPr>
          <w:rFonts w:ascii="楷体" w:hAnsi="楷体" w:eastAsia="楷体"/>
          <w:sz w:val="32"/>
          <w:szCs w:val="32"/>
        </w:rPr>
      </w:pPr>
      <w:bookmarkStart w:id="34" w:name="_Toc29049"/>
      <w:r>
        <w:drawing>
          <wp:anchor distT="0" distB="0" distL="114300" distR="114300" simplePos="0" relativeHeight="251660288" behindDoc="0" locked="0" layoutInCell="1" allowOverlap="1">
            <wp:simplePos x="0" y="0"/>
            <wp:positionH relativeFrom="column">
              <wp:posOffset>253365</wp:posOffset>
            </wp:positionH>
            <wp:positionV relativeFrom="paragraph">
              <wp:posOffset>252730</wp:posOffset>
            </wp:positionV>
            <wp:extent cx="4658995" cy="3418840"/>
            <wp:effectExtent l="0" t="0" r="8255" b="10160"/>
            <wp:wrapTopAndBottom/>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ascii="楷体" w:hAnsi="楷体" w:eastAsia="楷体"/>
          <w:sz w:val="32"/>
          <w:szCs w:val="32"/>
        </w:rPr>
        <w:t>图3：支出决算结构图</w:t>
      </w:r>
    </w:p>
    <w:p>
      <w:pPr>
        <w:pStyle w:val="4"/>
        <w:ind w:firstLine="640"/>
        <w:rPr>
          <w:rFonts w:ascii="Times New Roman" w:hAnsi="Times New Roman" w:cs="Times New Roman"/>
        </w:rPr>
      </w:pPr>
      <w:bookmarkStart w:id="35" w:name="_Toc15377208"/>
      <w:bookmarkStart w:id="36" w:name="_Toc15396606"/>
      <w:r>
        <w:rPr>
          <w:rFonts w:ascii="Times New Roman" w:hAnsi="Times New Roman" w:cs="Times New Roman"/>
        </w:rPr>
        <w:t>四、财政拨款收入支出决算总体情况说明</w:t>
      </w:r>
      <w:bookmarkEnd w:id="34"/>
      <w:bookmarkEnd w:id="35"/>
      <w:bookmarkEnd w:id="36"/>
    </w:p>
    <w:p>
      <w:pPr>
        <w:pStyle w:val="2"/>
        <w:adjustRightInd w:val="0"/>
        <w:snapToGrid w:val="0"/>
        <w:spacing w:before="93" w:line="600" w:lineRule="exact"/>
        <w:ind w:firstLine="672" w:firstLineChars="210"/>
        <w:outlineLvl w:val="2"/>
        <w:rPr>
          <w:rFonts w:ascii="Times New Roman" w:eastAsia="仿宋"/>
          <w:kern w:val="2"/>
          <w:sz w:val="32"/>
          <w:szCs w:val="32"/>
        </w:rPr>
      </w:pPr>
      <w:r>
        <w:rPr>
          <w:rFonts w:ascii="Times New Roman" w:eastAsia="仿宋"/>
          <w:kern w:val="2"/>
          <w:sz w:val="32"/>
          <w:szCs w:val="32"/>
        </w:rPr>
        <w:t>2020年财政拨款收、支总计2734.01万元。与2019年相比，财政拨款收、支总计各减少182.98万元、176.79万元，分别下降6.27%、6.07%。主要变动原因是机构改革，经费调整缩减。</w:t>
      </w:r>
    </w:p>
    <w:p>
      <w:pPr>
        <w:pStyle w:val="2"/>
        <w:adjustRightInd w:val="0"/>
        <w:snapToGrid w:val="0"/>
        <w:spacing w:before="93"/>
        <w:ind w:firstLine="630" w:firstLineChars="210"/>
        <w:outlineLvl w:val="2"/>
        <w:rPr>
          <w:rFonts w:ascii="Times New Roman" w:eastAsia="仿宋"/>
          <w:kern w:val="2"/>
          <w:sz w:val="32"/>
          <w:szCs w:val="32"/>
        </w:rPr>
      </w:pPr>
      <w:r>
        <w:drawing>
          <wp:inline distT="0" distB="0" distL="0" distR="0">
            <wp:extent cx="4572000" cy="2743200"/>
            <wp:effectExtent l="0" t="0" r="0" b="0"/>
            <wp:docPr id="3"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ind w:firstLine="640"/>
        <w:jc w:val="center"/>
        <w:rPr>
          <w:rFonts w:ascii="楷体" w:hAnsi="楷体" w:eastAsia="楷体"/>
          <w:bCs/>
          <w:kern w:val="0"/>
          <w:sz w:val="28"/>
          <w:szCs w:val="28"/>
        </w:rPr>
      </w:pPr>
      <w:bookmarkStart w:id="37" w:name="_Toc24783"/>
      <w:bookmarkStart w:id="38" w:name="_Toc15396607"/>
      <w:bookmarkStart w:id="39" w:name="_Toc15377209"/>
      <w:r>
        <w:rPr>
          <w:rFonts w:ascii="楷体" w:hAnsi="楷体" w:eastAsia="楷体"/>
          <w:bCs/>
          <w:kern w:val="0"/>
          <w:sz w:val="28"/>
          <w:szCs w:val="28"/>
        </w:rPr>
        <w:t>图4：财政拨款收、支决算总计变动情况</w:t>
      </w:r>
      <w:r>
        <w:rPr>
          <w:rFonts w:hint="eastAsia" w:ascii="楷体" w:hAnsi="楷体" w:eastAsia="楷体"/>
          <w:bCs/>
          <w:kern w:val="0"/>
          <w:sz w:val="28"/>
          <w:szCs w:val="28"/>
        </w:rPr>
        <w:t>（单位：万元）</w:t>
      </w:r>
    </w:p>
    <w:p>
      <w:pPr>
        <w:pStyle w:val="4"/>
        <w:ind w:firstLine="640"/>
        <w:rPr>
          <w:rFonts w:ascii="Times New Roman" w:hAnsi="Times New Roman" w:cs="Times New Roman"/>
        </w:rPr>
      </w:pPr>
      <w:r>
        <w:rPr>
          <w:rFonts w:ascii="Times New Roman" w:hAnsi="Times New Roman" w:cs="Times New Roman"/>
        </w:rPr>
        <w:t>五、一般公共预算财政拨款支出决算情况说明</w:t>
      </w:r>
      <w:bookmarkEnd w:id="37"/>
      <w:bookmarkEnd w:id="38"/>
      <w:bookmarkEnd w:id="39"/>
    </w:p>
    <w:p>
      <w:pPr>
        <w:spacing w:line="560" w:lineRule="exact"/>
        <w:ind w:firstLine="643" w:firstLineChars="200"/>
        <w:outlineLvl w:val="2"/>
        <w:rPr>
          <w:rFonts w:eastAsia="仿宋"/>
          <w:b/>
          <w:sz w:val="32"/>
          <w:szCs w:val="32"/>
        </w:rPr>
      </w:pPr>
      <w:bookmarkStart w:id="40" w:name="_Toc15377210"/>
      <w:r>
        <w:rPr>
          <w:rFonts w:eastAsia="仿宋"/>
          <w:b/>
          <w:sz w:val="32"/>
          <w:szCs w:val="32"/>
        </w:rPr>
        <w:t>（一）一般公共预算财政拨款支出决算总体情况</w:t>
      </w:r>
      <w:bookmarkEnd w:id="40"/>
    </w:p>
    <w:p>
      <w:pPr>
        <w:pStyle w:val="2"/>
        <w:adjustRightInd w:val="0"/>
        <w:snapToGrid w:val="0"/>
        <w:spacing w:beforeLines="0" w:line="560" w:lineRule="exact"/>
        <w:ind w:firstLine="672" w:firstLineChars="210"/>
        <w:outlineLvl w:val="2"/>
        <w:rPr>
          <w:rFonts w:ascii="Times New Roman" w:eastAsia="仿宋"/>
          <w:kern w:val="2"/>
          <w:sz w:val="32"/>
          <w:szCs w:val="32"/>
        </w:rPr>
      </w:pPr>
      <w:r>
        <w:rPr>
          <w:rFonts w:ascii="Times New Roman" w:eastAsia="仿宋"/>
          <w:kern w:val="2"/>
          <w:sz w:val="32"/>
          <w:szCs w:val="32"/>
        </w:rPr>
        <w:t>2020年一般公共预算财政拨款支出2734.01万元，占本年支出合计的100%。与2019年相比，一般公共预算财政拨款减少176.79万元，下降6.07%。主要变动原因是因机构改革和新冠疫情影响，培训费、会议费、因公出国费等减少开支。</w:t>
      </w:r>
    </w:p>
    <w:p>
      <w:pPr>
        <w:pStyle w:val="2"/>
        <w:adjustRightInd w:val="0"/>
        <w:snapToGrid w:val="0"/>
        <w:spacing w:before="93"/>
        <w:ind w:firstLine="588" w:firstLineChars="210"/>
        <w:outlineLvl w:val="2"/>
        <w:rPr>
          <w:rFonts w:ascii="楷体" w:hAnsi="楷体" w:eastAsia="楷体"/>
          <w:sz w:val="28"/>
          <w:szCs w:val="28"/>
        </w:rPr>
      </w:pPr>
      <w:r>
        <w:rPr>
          <w:rFonts w:ascii="楷体" w:hAnsi="楷体" w:eastAsia="楷体"/>
          <w:sz w:val="28"/>
          <w:szCs w:val="28"/>
        </w:rPr>
        <w:drawing>
          <wp:inline distT="0" distB="0" distL="0" distR="0">
            <wp:extent cx="4572000" cy="2321560"/>
            <wp:effectExtent l="0" t="0" r="0" b="2540"/>
            <wp:docPr id="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2"/>
        <w:adjustRightInd w:val="0"/>
        <w:snapToGrid w:val="0"/>
        <w:spacing w:before="93" w:line="600" w:lineRule="exact"/>
        <w:ind w:firstLine="672" w:firstLineChars="210"/>
        <w:outlineLvl w:val="2"/>
        <w:rPr>
          <w:rFonts w:ascii="楷体" w:hAnsi="楷体" w:eastAsia="楷体"/>
          <w:sz w:val="32"/>
          <w:szCs w:val="32"/>
        </w:rPr>
      </w:pPr>
      <w:r>
        <w:rPr>
          <w:rFonts w:ascii="楷体" w:hAnsi="楷体" w:eastAsia="楷体"/>
          <w:sz w:val="32"/>
          <w:szCs w:val="32"/>
        </w:rPr>
        <w:t>图5：一般公共预算财政拨款支出决算变动情况</w:t>
      </w:r>
    </w:p>
    <w:p>
      <w:pPr>
        <w:pStyle w:val="2"/>
        <w:spacing w:before="93"/>
        <w:rPr>
          <w:rFonts w:ascii="Times New Roman" w:eastAsia="仿宋"/>
          <w:b/>
          <w:sz w:val="32"/>
          <w:szCs w:val="32"/>
        </w:rPr>
      </w:pPr>
      <w:bookmarkStart w:id="41" w:name="_Toc15377211"/>
      <w:r>
        <w:rPr>
          <w:rFonts w:ascii="Times New Roman" w:eastAsia="仿宋"/>
          <w:b/>
          <w:sz w:val="32"/>
          <w:szCs w:val="32"/>
        </w:rPr>
        <w:t>（二）一般公共预算财政拨款支出决算结构情况</w:t>
      </w:r>
      <w:bookmarkEnd w:id="41"/>
    </w:p>
    <w:p>
      <w:pPr>
        <w:pStyle w:val="2"/>
        <w:adjustRightInd w:val="0"/>
        <w:snapToGrid w:val="0"/>
        <w:spacing w:before="93" w:line="600" w:lineRule="exact"/>
        <w:ind w:firstLine="672" w:firstLineChars="210"/>
        <w:outlineLvl w:val="2"/>
        <w:rPr>
          <w:rFonts w:ascii="Times New Roman" w:eastAsia="仿宋"/>
          <w:kern w:val="2"/>
          <w:sz w:val="32"/>
          <w:szCs w:val="32"/>
        </w:rPr>
      </w:pPr>
      <w:r>
        <w:rPr>
          <w:rFonts w:eastAsia="仿宋"/>
          <w:sz w:val="32"/>
          <w:szCs w:val="32"/>
        </w:rPr>
        <w:drawing>
          <wp:anchor distT="0" distB="0" distL="114300" distR="114300" simplePos="0" relativeHeight="251661312" behindDoc="0" locked="0" layoutInCell="1" allowOverlap="1">
            <wp:simplePos x="0" y="0"/>
            <wp:positionH relativeFrom="column">
              <wp:posOffset>418465</wp:posOffset>
            </wp:positionH>
            <wp:positionV relativeFrom="paragraph">
              <wp:posOffset>2392045</wp:posOffset>
            </wp:positionV>
            <wp:extent cx="4572000" cy="2743200"/>
            <wp:effectExtent l="4445" t="4445" r="14605" b="52705"/>
            <wp:wrapTopAndBottom/>
            <wp:docPr id="1" name="图表 1" descr="7b0a202020202263686172745265734964223a202232303437323139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ascii="Times New Roman" w:eastAsia="仿宋"/>
          <w:kern w:val="2"/>
          <w:sz w:val="32"/>
          <w:szCs w:val="32"/>
        </w:rPr>
        <w:t>2020年一般公共预算财政拨款支出2734.01万元，主要用于以下方面:一般公共服务支出4.5万元，占0.16%；教育支出7.88万元，占0.29%；社会保障和就业支出413.87万元，占15.14%；卫生健康支出145.62万元，占5.33%；农林水支出1922.46万元，占70.32%；住房保障支出239.68万元，占8.76%。</w:t>
      </w:r>
    </w:p>
    <w:p>
      <w:pPr>
        <w:pStyle w:val="2"/>
        <w:adjustRightInd w:val="0"/>
        <w:snapToGrid w:val="0"/>
        <w:spacing w:before="93" w:line="600" w:lineRule="exact"/>
        <w:ind w:firstLine="672" w:firstLineChars="210"/>
        <w:jc w:val="center"/>
        <w:outlineLvl w:val="2"/>
        <w:rPr>
          <w:rFonts w:ascii="楷体" w:hAnsi="楷体" w:eastAsia="楷体"/>
          <w:sz w:val="32"/>
          <w:szCs w:val="32"/>
        </w:rPr>
      </w:pPr>
      <w:bookmarkStart w:id="42" w:name="_Toc15377212"/>
      <w:r>
        <w:rPr>
          <w:rFonts w:ascii="楷体" w:hAnsi="楷体" w:eastAsia="楷体"/>
          <w:sz w:val="32"/>
          <w:szCs w:val="32"/>
        </w:rPr>
        <w:t>图6：一般公共预算财政拨款支出决算结构</w:t>
      </w:r>
    </w:p>
    <w:p>
      <w:pPr>
        <w:spacing w:line="600" w:lineRule="exact"/>
        <w:ind w:firstLine="643" w:firstLineChars="200"/>
        <w:outlineLvl w:val="2"/>
        <w:rPr>
          <w:rFonts w:eastAsia="仿宋"/>
          <w:b/>
          <w:sz w:val="32"/>
          <w:szCs w:val="32"/>
        </w:rPr>
      </w:pPr>
      <w:r>
        <w:rPr>
          <w:rFonts w:eastAsia="仿宋"/>
          <w:b/>
          <w:sz w:val="32"/>
          <w:szCs w:val="32"/>
        </w:rPr>
        <w:t>（三）一般公共预算财政拨款支出决算具体情况</w:t>
      </w:r>
      <w:bookmarkEnd w:id="42"/>
    </w:p>
    <w:p>
      <w:pPr>
        <w:pStyle w:val="2"/>
        <w:adjustRightInd w:val="0"/>
        <w:snapToGrid w:val="0"/>
        <w:spacing w:before="93" w:line="600" w:lineRule="exact"/>
        <w:ind w:firstLine="672" w:firstLineChars="210"/>
        <w:outlineLvl w:val="2"/>
        <w:rPr>
          <w:rFonts w:ascii="Times New Roman" w:eastAsia="仿宋"/>
          <w:kern w:val="2"/>
          <w:sz w:val="32"/>
          <w:szCs w:val="32"/>
        </w:rPr>
      </w:pPr>
      <w:bookmarkStart w:id="43" w:name="_Toc15377444"/>
      <w:bookmarkStart w:id="44" w:name="_Toc15378460"/>
      <w:bookmarkStart w:id="45" w:name="_Toc15377213"/>
      <w:r>
        <w:rPr>
          <w:rFonts w:ascii="Times New Roman" w:eastAsia="仿宋"/>
          <w:kern w:val="2"/>
          <w:sz w:val="32"/>
          <w:szCs w:val="32"/>
        </w:rPr>
        <w:t>2020年一般公共预算支出决算数为2734.01</w:t>
      </w:r>
      <w:r>
        <w:rPr>
          <w:rFonts w:hint="eastAsia" w:ascii="Times New Roman" w:eastAsia="仿宋"/>
          <w:kern w:val="2"/>
          <w:sz w:val="32"/>
          <w:szCs w:val="32"/>
        </w:rPr>
        <w:t>万元</w:t>
      </w:r>
      <w:r>
        <w:rPr>
          <w:rFonts w:ascii="Times New Roman" w:eastAsia="仿宋"/>
          <w:kern w:val="2"/>
          <w:sz w:val="32"/>
          <w:szCs w:val="32"/>
        </w:rPr>
        <w:t>，完成预算100%。其中：</w:t>
      </w:r>
      <w:bookmarkEnd w:id="43"/>
      <w:bookmarkEnd w:id="44"/>
      <w:bookmarkEnd w:id="45"/>
    </w:p>
    <w:p>
      <w:pPr>
        <w:pStyle w:val="2"/>
        <w:adjustRightInd w:val="0"/>
        <w:snapToGrid w:val="0"/>
        <w:spacing w:before="93" w:line="600" w:lineRule="exact"/>
        <w:ind w:firstLine="672" w:firstLineChars="210"/>
        <w:outlineLvl w:val="2"/>
        <w:rPr>
          <w:rFonts w:ascii="Times New Roman" w:eastAsia="仿宋"/>
          <w:kern w:val="2"/>
          <w:sz w:val="32"/>
          <w:szCs w:val="32"/>
        </w:rPr>
      </w:pPr>
      <w:r>
        <w:rPr>
          <w:rFonts w:ascii="Times New Roman" w:eastAsia="仿宋"/>
          <w:kern w:val="2"/>
          <w:sz w:val="32"/>
          <w:szCs w:val="32"/>
        </w:rPr>
        <w:t>1.一般公共服务支出（类）组织事务（款）一般行政管理事务（项）: 支出决算为4.5万元，完成预算100%。</w:t>
      </w:r>
    </w:p>
    <w:p>
      <w:pPr>
        <w:pStyle w:val="2"/>
        <w:adjustRightInd w:val="0"/>
        <w:snapToGrid w:val="0"/>
        <w:spacing w:before="93" w:line="600" w:lineRule="exact"/>
        <w:ind w:firstLine="672" w:firstLineChars="210"/>
        <w:outlineLvl w:val="2"/>
        <w:rPr>
          <w:rFonts w:ascii="Times New Roman" w:eastAsia="仿宋"/>
          <w:kern w:val="2"/>
          <w:sz w:val="32"/>
          <w:szCs w:val="32"/>
        </w:rPr>
      </w:pPr>
      <w:r>
        <w:rPr>
          <w:rFonts w:ascii="Times New Roman" w:eastAsia="仿宋"/>
          <w:kern w:val="2"/>
          <w:sz w:val="32"/>
          <w:szCs w:val="32"/>
        </w:rPr>
        <w:t>2.教育支出（类）进修及培训（款）培训支出（项）: 支出决算为7.88万元，完成预算100%。</w:t>
      </w:r>
    </w:p>
    <w:p>
      <w:pPr>
        <w:pStyle w:val="2"/>
        <w:adjustRightInd w:val="0"/>
        <w:snapToGrid w:val="0"/>
        <w:spacing w:before="93" w:line="600" w:lineRule="exact"/>
        <w:ind w:firstLine="672" w:firstLineChars="210"/>
        <w:outlineLvl w:val="2"/>
        <w:rPr>
          <w:rFonts w:ascii="Times New Roman" w:eastAsia="仿宋"/>
          <w:kern w:val="2"/>
          <w:sz w:val="32"/>
          <w:szCs w:val="32"/>
        </w:rPr>
      </w:pPr>
      <w:r>
        <w:rPr>
          <w:rFonts w:ascii="Times New Roman" w:eastAsia="仿宋"/>
          <w:kern w:val="2"/>
          <w:sz w:val="32"/>
          <w:szCs w:val="32"/>
        </w:rPr>
        <w:t>3.社会保障和就业支出（类）行政事业单位养老支出（款）：行政单位离退休（项）支出决算为251.4万元，完成预算100%；事业单位离退休（项）支出决算为1.24万元，完成预算100%；机关事业单位基本养老保险缴费支出（项）支出决算为130.06万元，完成预算100%；机关事业单位职业年金缴费支出（项）支出决算为7.41万元，完成预算100%。</w:t>
      </w:r>
    </w:p>
    <w:p>
      <w:pPr>
        <w:pStyle w:val="2"/>
        <w:adjustRightInd w:val="0"/>
        <w:snapToGrid w:val="0"/>
        <w:spacing w:before="93" w:line="600" w:lineRule="exact"/>
        <w:ind w:firstLine="672" w:firstLineChars="210"/>
        <w:outlineLvl w:val="2"/>
        <w:rPr>
          <w:rFonts w:ascii="Times New Roman" w:eastAsia="仿宋"/>
          <w:kern w:val="2"/>
          <w:sz w:val="32"/>
          <w:szCs w:val="32"/>
        </w:rPr>
      </w:pPr>
      <w:r>
        <w:rPr>
          <w:rFonts w:ascii="Times New Roman" w:eastAsia="仿宋"/>
          <w:kern w:val="2"/>
          <w:sz w:val="32"/>
          <w:szCs w:val="32"/>
        </w:rPr>
        <w:t>社会保障和就业支出（类）抚恤（款）死亡抚恤（项）：支出决算为23.76万元，完成预算100%。</w:t>
      </w:r>
    </w:p>
    <w:p>
      <w:pPr>
        <w:pStyle w:val="2"/>
        <w:adjustRightInd w:val="0"/>
        <w:snapToGrid w:val="0"/>
        <w:spacing w:before="93" w:line="600" w:lineRule="exact"/>
        <w:ind w:firstLine="672" w:firstLineChars="210"/>
        <w:outlineLvl w:val="2"/>
        <w:rPr>
          <w:rFonts w:ascii="Times New Roman" w:eastAsia="仿宋"/>
          <w:kern w:val="2"/>
          <w:sz w:val="32"/>
          <w:szCs w:val="32"/>
        </w:rPr>
      </w:pPr>
      <w:r>
        <w:rPr>
          <w:rFonts w:ascii="Times New Roman" w:eastAsia="仿宋"/>
          <w:kern w:val="2"/>
          <w:sz w:val="32"/>
          <w:szCs w:val="32"/>
        </w:rPr>
        <w:t>4.卫生健康支出（类）行政事业单位医疗（款）：行政单位医疗（项）支出决算为5.93万元，完成预算100%；事业单位医疗（项）支出决算为103.26万元，完成预算100%；公务员医疗补助（项）支出决算为36.43万元，完成预算100%。</w:t>
      </w:r>
    </w:p>
    <w:p>
      <w:pPr>
        <w:pStyle w:val="2"/>
        <w:adjustRightInd w:val="0"/>
        <w:snapToGrid w:val="0"/>
        <w:spacing w:before="93" w:line="600" w:lineRule="exact"/>
        <w:ind w:firstLine="672" w:firstLineChars="210"/>
        <w:outlineLvl w:val="2"/>
        <w:rPr>
          <w:rFonts w:ascii="Times New Roman" w:eastAsia="仿宋"/>
          <w:kern w:val="2"/>
          <w:sz w:val="32"/>
          <w:szCs w:val="32"/>
        </w:rPr>
      </w:pPr>
      <w:r>
        <w:rPr>
          <w:rFonts w:ascii="Times New Roman" w:eastAsia="仿宋"/>
          <w:kern w:val="2"/>
          <w:sz w:val="32"/>
          <w:szCs w:val="32"/>
        </w:rPr>
        <w:t>5.农林水支出（类）水利（款）：行政运行（项）支出决算为1778.16万元，完成预算100%；一般行政管理事务（项）支出决算为63.7万元，完成预算100%；防汛（项）支出决算为6万元，完成预算100%；农村水利（项）支出决算为74.6万元，完成预算100%。</w:t>
      </w:r>
    </w:p>
    <w:p>
      <w:pPr>
        <w:pStyle w:val="2"/>
        <w:adjustRightInd w:val="0"/>
        <w:snapToGrid w:val="0"/>
        <w:spacing w:before="93" w:line="600" w:lineRule="exact"/>
        <w:ind w:firstLine="672" w:firstLineChars="210"/>
        <w:outlineLvl w:val="2"/>
        <w:rPr>
          <w:rFonts w:ascii="Times New Roman" w:eastAsia="仿宋"/>
          <w:kern w:val="2"/>
          <w:sz w:val="32"/>
          <w:szCs w:val="32"/>
        </w:rPr>
      </w:pPr>
      <w:r>
        <w:rPr>
          <w:rFonts w:ascii="Times New Roman" w:eastAsia="仿宋"/>
          <w:kern w:val="2"/>
          <w:sz w:val="32"/>
          <w:szCs w:val="32"/>
        </w:rPr>
        <w:t>6.住房保障支出（类）住房改革支出（款）：住房公积金（项）支出决算为148.72万元，完成预算100%；购房补贴（项）支出决算为90.96万元，完成预算100%。</w:t>
      </w:r>
    </w:p>
    <w:p>
      <w:pPr>
        <w:pStyle w:val="4"/>
        <w:ind w:firstLine="640"/>
        <w:rPr>
          <w:rFonts w:ascii="Times New Roman" w:hAnsi="Times New Roman" w:cs="Times New Roman"/>
        </w:rPr>
      </w:pPr>
      <w:bookmarkStart w:id="46" w:name="_Toc7543"/>
      <w:bookmarkStart w:id="47" w:name="_Toc15377214"/>
      <w:bookmarkStart w:id="48" w:name="_Toc15396608"/>
      <w:r>
        <w:rPr>
          <w:rFonts w:ascii="Times New Roman" w:hAnsi="Times New Roman" w:cs="Times New Roman"/>
        </w:rPr>
        <w:t>六、一般公共预算财政拨款基本支出决算情况说明</w:t>
      </w:r>
      <w:bookmarkEnd w:id="46"/>
      <w:bookmarkEnd w:id="47"/>
      <w:bookmarkEnd w:id="48"/>
      <w:r>
        <w:rPr>
          <w:rFonts w:ascii="Times New Roman" w:hAnsi="Times New Roman" w:cs="Times New Roman"/>
        </w:rPr>
        <w:tab/>
      </w:r>
    </w:p>
    <w:p>
      <w:pPr>
        <w:pStyle w:val="2"/>
        <w:adjustRightInd w:val="0"/>
        <w:snapToGrid w:val="0"/>
        <w:spacing w:before="93" w:line="600" w:lineRule="exact"/>
        <w:ind w:firstLine="672" w:firstLineChars="210"/>
        <w:outlineLvl w:val="2"/>
        <w:rPr>
          <w:rFonts w:ascii="Times New Roman" w:eastAsia="仿宋"/>
          <w:kern w:val="2"/>
          <w:sz w:val="32"/>
          <w:szCs w:val="32"/>
        </w:rPr>
      </w:pPr>
      <w:r>
        <w:rPr>
          <w:rFonts w:ascii="Times New Roman" w:eastAsia="仿宋"/>
          <w:kern w:val="2"/>
          <w:sz w:val="32"/>
          <w:szCs w:val="32"/>
        </w:rPr>
        <w:t>2020年一般公共预算财政拨款基本支出2585.21万元，其中：</w:t>
      </w:r>
    </w:p>
    <w:p>
      <w:pPr>
        <w:pStyle w:val="2"/>
        <w:adjustRightInd w:val="0"/>
        <w:snapToGrid w:val="0"/>
        <w:spacing w:before="93" w:line="600" w:lineRule="exact"/>
        <w:ind w:firstLine="672" w:firstLineChars="210"/>
        <w:outlineLvl w:val="2"/>
        <w:rPr>
          <w:rFonts w:ascii="Times New Roman" w:eastAsia="仿宋"/>
          <w:kern w:val="2"/>
          <w:sz w:val="32"/>
          <w:szCs w:val="32"/>
        </w:rPr>
      </w:pPr>
      <w:r>
        <w:rPr>
          <w:rFonts w:ascii="Times New Roman" w:eastAsia="仿宋"/>
          <w:kern w:val="2"/>
          <w:sz w:val="32"/>
          <w:szCs w:val="32"/>
        </w:rPr>
        <w:t>人员经费2036.17万元，主要包括：基本工资、津贴补贴、奖金、机关事业单位基本养老保险缴费、职业年金缴费、职工基本医疗保险缴费、公务员医疗补助缴费、住房公积金、</w:t>
      </w:r>
    </w:p>
    <w:p>
      <w:pPr>
        <w:pStyle w:val="2"/>
        <w:adjustRightInd w:val="0"/>
        <w:snapToGrid w:val="0"/>
        <w:spacing w:before="93" w:line="600" w:lineRule="exact"/>
        <w:outlineLvl w:val="2"/>
        <w:rPr>
          <w:rFonts w:ascii="Times New Roman" w:eastAsia="仿宋"/>
          <w:kern w:val="2"/>
          <w:sz w:val="32"/>
          <w:szCs w:val="32"/>
        </w:rPr>
      </w:pPr>
      <w:r>
        <w:rPr>
          <w:rFonts w:ascii="Times New Roman" w:eastAsia="仿宋"/>
          <w:kern w:val="2"/>
          <w:sz w:val="32"/>
          <w:szCs w:val="32"/>
        </w:rPr>
        <w:t>其他工资福利支出、抚恤金、奖励金、其他对个人和家庭的补助等。</w:t>
      </w:r>
      <w:r>
        <w:rPr>
          <w:rFonts w:ascii="Times New Roman" w:eastAsia="仿宋"/>
          <w:kern w:val="2"/>
          <w:sz w:val="32"/>
          <w:szCs w:val="32"/>
        </w:rPr>
        <w:br w:type="textWrapping"/>
      </w:r>
      <w:r>
        <w:rPr>
          <w:rFonts w:ascii="Times New Roman" w:eastAsia="仿宋"/>
          <w:kern w:val="2"/>
          <w:sz w:val="32"/>
          <w:szCs w:val="32"/>
        </w:rPr>
        <w:t>　　公用经费549.04万元，主要包括：办公费、印刷费、手续费、水费、电费、邮电费、物业管理费、差旅费、维修（护）费、会议费、培训费、公务接待费、劳务费、工会经费、福利费、公务用车运行维护费、其他交通费、其他商品和服务支出等。</w:t>
      </w:r>
    </w:p>
    <w:p>
      <w:pPr>
        <w:pStyle w:val="4"/>
        <w:ind w:firstLine="640"/>
        <w:rPr>
          <w:rFonts w:ascii="Times New Roman" w:hAnsi="Times New Roman" w:cs="Times New Roman"/>
        </w:rPr>
      </w:pPr>
      <w:bookmarkStart w:id="49" w:name="_Toc15377215"/>
      <w:bookmarkStart w:id="50" w:name="_Toc28532"/>
      <w:bookmarkStart w:id="51" w:name="_Toc15396609"/>
      <w:r>
        <w:rPr>
          <w:rFonts w:ascii="Times New Roman" w:hAnsi="Times New Roman" w:cs="Times New Roman"/>
        </w:rPr>
        <w:t>七、“三公”经费财政拨款支出决算情况说明</w:t>
      </w:r>
      <w:bookmarkEnd w:id="49"/>
      <w:bookmarkEnd w:id="50"/>
      <w:bookmarkEnd w:id="51"/>
    </w:p>
    <w:p>
      <w:pPr>
        <w:spacing w:line="600" w:lineRule="exact"/>
        <w:ind w:firstLine="640"/>
        <w:outlineLvl w:val="2"/>
        <w:rPr>
          <w:rFonts w:eastAsia="仿宋"/>
          <w:b/>
          <w:sz w:val="32"/>
          <w:szCs w:val="32"/>
        </w:rPr>
      </w:pPr>
      <w:bookmarkStart w:id="52" w:name="_Toc15377216"/>
      <w:r>
        <w:rPr>
          <w:rFonts w:eastAsia="仿宋"/>
          <w:b/>
          <w:sz w:val="32"/>
          <w:szCs w:val="32"/>
        </w:rPr>
        <w:t>（一）“三公”经费财政拨款支出决算总体情况说明</w:t>
      </w:r>
      <w:bookmarkEnd w:id="52"/>
    </w:p>
    <w:p>
      <w:pPr>
        <w:pStyle w:val="2"/>
        <w:adjustRightInd w:val="0"/>
        <w:snapToGrid w:val="0"/>
        <w:spacing w:before="93" w:line="600" w:lineRule="exact"/>
        <w:ind w:firstLine="640" w:firstLineChars="200"/>
        <w:outlineLvl w:val="2"/>
        <w:rPr>
          <w:rFonts w:ascii="Times New Roman" w:eastAsia="仿宋"/>
          <w:kern w:val="2"/>
          <w:sz w:val="32"/>
          <w:szCs w:val="32"/>
        </w:rPr>
      </w:pPr>
      <w:r>
        <w:rPr>
          <w:rFonts w:ascii="Times New Roman" w:eastAsia="仿宋"/>
          <w:kern w:val="2"/>
          <w:sz w:val="32"/>
          <w:szCs w:val="32"/>
        </w:rPr>
        <w:t>2020年“三公”经费财政拨款支出决算为32.66万元，完成预算71.61%，决算数小于预算数的主要原因是认真贯彻落实“过紧日子”思想，压减“三公经费”支出，同时受疫情影响，公务接待活动减少，取消因公出国（境）活动。</w:t>
      </w:r>
    </w:p>
    <w:p>
      <w:pPr>
        <w:pStyle w:val="2"/>
        <w:adjustRightInd w:val="0"/>
        <w:snapToGrid w:val="0"/>
        <w:spacing w:before="93" w:line="600" w:lineRule="exact"/>
        <w:jc w:val="center"/>
        <w:outlineLvl w:val="2"/>
        <w:rPr>
          <w:rFonts w:ascii="Times New Roman" w:eastAsia="仿宋"/>
          <w:kern w:val="2"/>
          <w:sz w:val="32"/>
          <w:szCs w:val="32"/>
        </w:rPr>
      </w:pPr>
      <w:r>
        <w:rPr>
          <w:rFonts w:ascii="Times New Roman"/>
        </w:rPr>
        <w:drawing>
          <wp:anchor distT="0" distB="0" distL="114300" distR="114300" simplePos="0" relativeHeight="251662336" behindDoc="0" locked="0" layoutInCell="1" allowOverlap="1">
            <wp:simplePos x="0" y="0"/>
            <wp:positionH relativeFrom="column">
              <wp:posOffset>288290</wp:posOffset>
            </wp:positionH>
            <wp:positionV relativeFrom="paragraph">
              <wp:posOffset>132715</wp:posOffset>
            </wp:positionV>
            <wp:extent cx="4572000" cy="2743200"/>
            <wp:effectExtent l="4445" t="4445" r="14605" b="52705"/>
            <wp:wrapTopAndBottom/>
            <wp:docPr id="5" name="图表 2" descr="7b0a202020202263686172745265734964223a2022383733373732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Pr>
          <w:rFonts w:hint="eastAsia" w:ascii="仿宋" w:hAnsi="仿宋" w:eastAsia="仿宋"/>
          <w:sz w:val="32"/>
          <w:szCs w:val="32"/>
        </w:rPr>
        <w:t>图7：“三公”经费财政拨款支出结构</w:t>
      </w:r>
    </w:p>
    <w:p>
      <w:pPr>
        <w:pStyle w:val="2"/>
        <w:adjustRightInd w:val="0"/>
        <w:snapToGrid w:val="0"/>
        <w:spacing w:before="93" w:line="600" w:lineRule="exact"/>
        <w:ind w:firstLine="675" w:firstLineChars="210"/>
        <w:outlineLvl w:val="2"/>
        <w:rPr>
          <w:rFonts w:ascii="Times New Roman" w:eastAsia="仿宋"/>
          <w:b/>
          <w:sz w:val="32"/>
          <w:szCs w:val="32"/>
        </w:rPr>
      </w:pPr>
      <w:bookmarkStart w:id="53" w:name="_Toc15377217"/>
      <w:r>
        <w:rPr>
          <w:rFonts w:ascii="Times New Roman" w:eastAsia="仿宋"/>
          <w:b/>
          <w:sz w:val="32"/>
          <w:szCs w:val="32"/>
        </w:rPr>
        <w:t>（二）“三公”经费财政拨款支出决算具体情况说明</w:t>
      </w:r>
      <w:bookmarkEnd w:id="53"/>
    </w:p>
    <w:p>
      <w:pPr>
        <w:pStyle w:val="2"/>
        <w:adjustRightInd w:val="0"/>
        <w:snapToGrid w:val="0"/>
        <w:spacing w:before="93" w:line="600" w:lineRule="exact"/>
        <w:ind w:firstLine="672" w:firstLineChars="210"/>
        <w:outlineLvl w:val="2"/>
        <w:rPr>
          <w:rFonts w:ascii="Times New Roman" w:eastAsia="仿宋"/>
          <w:kern w:val="2"/>
          <w:sz w:val="32"/>
          <w:szCs w:val="32"/>
        </w:rPr>
      </w:pPr>
      <w:r>
        <w:rPr>
          <w:rFonts w:ascii="Times New Roman" w:eastAsia="仿宋"/>
          <w:kern w:val="2"/>
          <w:sz w:val="32"/>
          <w:szCs w:val="32"/>
        </w:rPr>
        <w:t>2020年“三公”经费财政拨款支出决算中，因公出国（境）费支出决算0万元，占0%；公务用车购置及运行维护费支出决算31.81万元，占97.4%；公务接待费支出决算0.85万元，占2.6%。具体情况如下：</w:t>
      </w:r>
    </w:p>
    <w:p>
      <w:pPr>
        <w:pStyle w:val="2"/>
        <w:spacing w:before="93" w:line="600" w:lineRule="exact"/>
        <w:rPr>
          <w:rFonts w:ascii="Times New Roman" w:eastAsia="仿宋"/>
          <w:kern w:val="2"/>
          <w:sz w:val="32"/>
          <w:szCs w:val="32"/>
        </w:rPr>
      </w:pPr>
      <w:r>
        <w:rPr>
          <w:rFonts w:ascii="Times New Roman"/>
        </w:rPr>
        <w:t xml:space="preserve">    </w:t>
      </w:r>
      <w:r>
        <w:rPr>
          <w:rFonts w:ascii="Times New Roman"/>
          <w:b/>
          <w:sz w:val="32"/>
          <w:szCs w:val="32"/>
        </w:rPr>
        <w:t>1.因公出国（境）经费支出</w:t>
      </w:r>
      <w:r>
        <w:rPr>
          <w:rFonts w:ascii="Times New Roman" w:eastAsia="仿宋"/>
          <w:kern w:val="2"/>
          <w:sz w:val="32"/>
          <w:szCs w:val="32"/>
        </w:rPr>
        <w:t>0万元，完成预算0%，因公出国（境）支出决算比2019年减少5.2万元，下降100%。主要原因是2020年因新冠疫情爆发，未开展出国活动。</w:t>
      </w:r>
    </w:p>
    <w:p>
      <w:pPr>
        <w:spacing w:line="600" w:lineRule="exact"/>
        <w:ind w:firstLine="640"/>
        <w:rPr>
          <w:rFonts w:eastAsia="仿宋"/>
          <w:sz w:val="32"/>
          <w:szCs w:val="32"/>
        </w:rPr>
      </w:pPr>
      <w:r>
        <w:rPr>
          <w:rFonts w:eastAsia="仿宋_GB2312"/>
          <w:b/>
          <w:sz w:val="32"/>
          <w:szCs w:val="32"/>
        </w:rPr>
        <w:t>2.公务用车购置及运行维护费支出</w:t>
      </w:r>
      <w:r>
        <w:rPr>
          <w:rFonts w:eastAsia="仿宋"/>
          <w:sz w:val="32"/>
          <w:szCs w:val="32"/>
        </w:rPr>
        <w:t>31.81万元,完成预算100%。公务用车购置及运行维护费支出决算与2019年持平。</w:t>
      </w:r>
    </w:p>
    <w:p>
      <w:pPr>
        <w:spacing w:line="600" w:lineRule="exact"/>
        <w:ind w:firstLine="640"/>
        <w:rPr>
          <w:rFonts w:eastAsia="仿宋"/>
          <w:sz w:val="32"/>
          <w:szCs w:val="32"/>
        </w:rPr>
      </w:pPr>
      <w:r>
        <w:rPr>
          <w:rFonts w:eastAsia="仿宋"/>
          <w:sz w:val="32"/>
          <w:szCs w:val="32"/>
        </w:rPr>
        <w:t>其中：</w:t>
      </w:r>
      <w:r>
        <w:rPr>
          <w:rFonts w:eastAsia="仿宋"/>
          <w:b/>
          <w:bCs/>
          <w:sz w:val="32"/>
          <w:szCs w:val="32"/>
        </w:rPr>
        <w:t>公务用车购置支出</w:t>
      </w:r>
      <w:r>
        <w:rPr>
          <w:rFonts w:eastAsia="仿宋"/>
          <w:sz w:val="32"/>
          <w:szCs w:val="32"/>
        </w:rPr>
        <w:t>0万元。</w:t>
      </w:r>
      <w:r>
        <w:rPr>
          <w:rFonts w:eastAsia="仿宋"/>
          <w:b/>
          <w:bCs/>
          <w:sz w:val="32"/>
          <w:szCs w:val="32"/>
        </w:rPr>
        <w:t>公务用车运行维护费支出</w:t>
      </w:r>
      <w:r>
        <w:rPr>
          <w:rFonts w:eastAsia="仿宋"/>
          <w:sz w:val="32"/>
          <w:szCs w:val="32"/>
        </w:rPr>
        <w:t>31.81万元。主要用于开展农村小型水利工程体制改革工作、农村饮水安全巩固提升、水利工程维修养护等水利工程项目暗访、调研工作所需的公务用车燃料费、维修费、过路过桥费、保险费等支出。</w:t>
      </w:r>
    </w:p>
    <w:p>
      <w:pPr>
        <w:spacing w:line="600" w:lineRule="exact"/>
        <w:ind w:firstLine="640"/>
        <w:rPr>
          <w:rFonts w:eastAsia="仿宋"/>
          <w:sz w:val="32"/>
          <w:szCs w:val="32"/>
        </w:rPr>
      </w:pPr>
      <w:r>
        <w:rPr>
          <w:rFonts w:eastAsia="仿宋_GB2312"/>
          <w:b/>
          <w:sz w:val="32"/>
          <w:szCs w:val="32"/>
        </w:rPr>
        <w:t>3.公务接待费支出</w:t>
      </w:r>
      <w:r>
        <w:rPr>
          <w:rFonts w:eastAsia="仿宋"/>
          <w:sz w:val="32"/>
          <w:szCs w:val="32"/>
        </w:rPr>
        <w:t>0.85万元，完成预算10.63%。公务接待费支出决算比2019年减少0.4万元，下降32%。主要原因是受新冠疫情影响，公务接待活动减少。其中：</w:t>
      </w:r>
    </w:p>
    <w:p>
      <w:pPr>
        <w:spacing w:line="600" w:lineRule="exact"/>
        <w:ind w:firstLine="640"/>
        <w:rPr>
          <w:rFonts w:eastAsia="仿宋"/>
          <w:sz w:val="32"/>
          <w:szCs w:val="32"/>
        </w:rPr>
      </w:pPr>
      <w:r>
        <w:rPr>
          <w:rFonts w:eastAsia="仿宋"/>
          <w:b/>
          <w:sz w:val="32"/>
          <w:szCs w:val="32"/>
        </w:rPr>
        <w:t>国内公务接待支出</w:t>
      </w:r>
      <w:r>
        <w:rPr>
          <w:rFonts w:eastAsia="仿宋"/>
          <w:sz w:val="32"/>
          <w:szCs w:val="32"/>
        </w:rPr>
        <w:t>0.85万元，主要用于执行公务、开展业务活动开支的交通费、住宿费、用餐费等。国内公务接待9批次，71人次</w:t>
      </w:r>
      <w:r>
        <w:rPr>
          <w:rFonts w:hint="eastAsia" w:eastAsia="仿宋"/>
          <w:sz w:val="32"/>
          <w:szCs w:val="32"/>
        </w:rPr>
        <w:t>（</w:t>
      </w:r>
      <w:r>
        <w:rPr>
          <w:rFonts w:eastAsia="仿宋"/>
          <w:sz w:val="32"/>
          <w:szCs w:val="32"/>
        </w:rPr>
        <w:t>不包括陪同人员</w:t>
      </w:r>
      <w:r>
        <w:rPr>
          <w:rFonts w:hint="eastAsia" w:eastAsia="仿宋"/>
          <w:sz w:val="32"/>
          <w:szCs w:val="32"/>
        </w:rPr>
        <w:t>）</w:t>
      </w:r>
      <w:r>
        <w:rPr>
          <w:rFonts w:eastAsia="仿宋"/>
          <w:sz w:val="32"/>
          <w:szCs w:val="32"/>
        </w:rPr>
        <w:t>，共计支出0.85万元，具体内容包括：接待上级有关部委、司局来川考察调研、督查督办等公务活动的餐费开支。</w:t>
      </w:r>
    </w:p>
    <w:p>
      <w:pPr>
        <w:spacing w:line="600" w:lineRule="exact"/>
        <w:ind w:firstLine="643" w:firstLineChars="200"/>
        <w:rPr>
          <w:rFonts w:eastAsia="仿宋"/>
          <w:sz w:val="32"/>
          <w:szCs w:val="32"/>
        </w:rPr>
      </w:pPr>
      <w:r>
        <w:rPr>
          <w:rFonts w:eastAsia="仿宋"/>
          <w:b/>
          <w:color w:val="000000" w:themeColor="text1"/>
          <w:sz w:val="32"/>
          <w:szCs w:val="32"/>
          <w14:textFill>
            <w14:solidFill>
              <w14:schemeClr w14:val="tx1"/>
            </w14:solidFill>
          </w14:textFill>
        </w:rPr>
        <w:t>外事接待支出</w:t>
      </w:r>
      <w:r>
        <w:rPr>
          <w:rFonts w:eastAsia="仿宋"/>
          <w:sz w:val="32"/>
          <w:szCs w:val="32"/>
        </w:rPr>
        <w:t>0万元，外事接待0批次，0人，共计支出0万元。</w:t>
      </w:r>
    </w:p>
    <w:p>
      <w:pPr>
        <w:pStyle w:val="4"/>
        <w:ind w:firstLine="640"/>
        <w:rPr>
          <w:rFonts w:ascii="Times New Roman" w:hAnsi="Times New Roman" w:cs="Times New Roman"/>
        </w:rPr>
      </w:pPr>
      <w:bookmarkStart w:id="54" w:name="_Toc10706"/>
      <w:bookmarkStart w:id="55" w:name="_Toc15396610"/>
      <w:bookmarkStart w:id="56" w:name="_Toc15377218"/>
      <w:r>
        <w:rPr>
          <w:rFonts w:ascii="Times New Roman" w:hAnsi="Times New Roman" w:cs="Times New Roman"/>
        </w:rPr>
        <w:t>八、政府性基金预算支出决算情况说明</w:t>
      </w:r>
      <w:bookmarkEnd w:id="54"/>
      <w:bookmarkEnd w:id="55"/>
      <w:bookmarkEnd w:id="56"/>
    </w:p>
    <w:p>
      <w:pPr>
        <w:spacing w:line="600" w:lineRule="exact"/>
        <w:ind w:firstLine="640"/>
        <w:rPr>
          <w:rFonts w:eastAsia="仿宋_GB2312"/>
          <w:sz w:val="32"/>
          <w:szCs w:val="32"/>
        </w:rPr>
      </w:pPr>
      <w:r>
        <w:rPr>
          <w:rFonts w:eastAsia="仿宋_GB2312"/>
          <w:sz w:val="32"/>
          <w:szCs w:val="32"/>
        </w:rPr>
        <w:t>无</w:t>
      </w:r>
    </w:p>
    <w:p>
      <w:pPr>
        <w:pStyle w:val="4"/>
        <w:numPr>
          <w:ilvl w:val="0"/>
          <w:numId w:val="2"/>
        </w:numPr>
        <w:ind w:firstLine="640"/>
        <w:rPr>
          <w:rFonts w:ascii="Times New Roman" w:hAnsi="Times New Roman" w:cs="Times New Roman"/>
        </w:rPr>
      </w:pPr>
      <w:bookmarkStart w:id="57" w:name="_Toc15377219"/>
      <w:bookmarkStart w:id="58" w:name="_Toc20782"/>
      <w:bookmarkStart w:id="59" w:name="_Toc15396611"/>
      <w:r>
        <w:rPr>
          <w:rFonts w:ascii="Times New Roman" w:hAnsi="Times New Roman" w:cs="Times New Roman"/>
        </w:rPr>
        <w:t>国有资本经营预算支出决算情况说明</w:t>
      </w:r>
      <w:bookmarkEnd w:id="57"/>
      <w:bookmarkEnd w:id="58"/>
      <w:bookmarkEnd w:id="59"/>
    </w:p>
    <w:p>
      <w:pPr>
        <w:spacing w:line="600" w:lineRule="exact"/>
        <w:ind w:firstLine="640" w:firstLineChars="200"/>
        <w:rPr>
          <w:rFonts w:eastAsia="方正小标宋简体"/>
          <w:sz w:val="44"/>
          <w:szCs w:val="44"/>
        </w:rPr>
      </w:pPr>
      <w:r>
        <w:rPr>
          <w:rFonts w:eastAsia="仿宋_GB2312"/>
          <w:sz w:val="32"/>
          <w:szCs w:val="32"/>
        </w:rPr>
        <w:t>无</w:t>
      </w:r>
    </w:p>
    <w:p>
      <w:pPr>
        <w:pStyle w:val="4"/>
        <w:numPr>
          <w:ilvl w:val="0"/>
          <w:numId w:val="2"/>
        </w:numPr>
        <w:ind w:firstLine="640"/>
        <w:rPr>
          <w:rFonts w:ascii="Times New Roman" w:hAnsi="Times New Roman" w:cs="Times New Roman"/>
        </w:rPr>
      </w:pPr>
      <w:bookmarkStart w:id="60" w:name="_Toc15396612"/>
      <w:bookmarkStart w:id="61" w:name="_Toc15377221"/>
      <w:bookmarkStart w:id="62" w:name="_Toc24932"/>
      <w:r>
        <w:rPr>
          <w:rFonts w:ascii="Times New Roman" w:hAnsi="Times New Roman" w:cs="Times New Roman"/>
        </w:rPr>
        <w:t>其他重要事项的情况说明</w:t>
      </w:r>
      <w:bookmarkEnd w:id="60"/>
      <w:bookmarkEnd w:id="61"/>
      <w:bookmarkEnd w:id="62"/>
    </w:p>
    <w:p>
      <w:pPr>
        <w:spacing w:line="600" w:lineRule="exact"/>
        <w:ind w:firstLine="643" w:firstLineChars="200"/>
        <w:outlineLvl w:val="2"/>
        <w:rPr>
          <w:rFonts w:eastAsia="仿宋"/>
          <w:sz w:val="32"/>
          <w:szCs w:val="32"/>
        </w:rPr>
      </w:pPr>
      <w:bookmarkStart w:id="63" w:name="_Toc15377222"/>
      <w:r>
        <w:rPr>
          <w:rFonts w:eastAsia="仿宋"/>
          <w:b/>
          <w:sz w:val="32"/>
          <w:szCs w:val="32"/>
        </w:rPr>
        <w:t>（一）机关运行经费支出情况</w:t>
      </w:r>
      <w:bookmarkEnd w:id="63"/>
    </w:p>
    <w:p>
      <w:pPr>
        <w:spacing w:line="600" w:lineRule="exact"/>
        <w:ind w:firstLine="640"/>
        <w:rPr>
          <w:rFonts w:eastAsia="仿宋"/>
          <w:sz w:val="32"/>
          <w:szCs w:val="32"/>
        </w:rPr>
      </w:pPr>
      <w:r>
        <w:rPr>
          <w:rFonts w:eastAsia="仿宋"/>
          <w:sz w:val="32"/>
          <w:szCs w:val="32"/>
        </w:rPr>
        <w:t>2020年，四川省农田水利局机关运行经费支出549.03万元，比2019年减少80.01万元，下降12.72%。主要原因是机构改革，机关运行经费调整缩减。</w:t>
      </w:r>
    </w:p>
    <w:p>
      <w:pPr>
        <w:autoSpaceDE w:val="0"/>
        <w:autoSpaceDN w:val="0"/>
        <w:adjustRightInd w:val="0"/>
        <w:spacing w:line="600" w:lineRule="exact"/>
        <w:ind w:firstLine="643" w:firstLineChars="200"/>
        <w:jc w:val="left"/>
        <w:outlineLvl w:val="2"/>
        <w:rPr>
          <w:rFonts w:eastAsia="仿宋"/>
          <w:b/>
          <w:sz w:val="32"/>
          <w:szCs w:val="32"/>
        </w:rPr>
      </w:pPr>
      <w:bookmarkStart w:id="64" w:name="_Toc15377223"/>
      <w:r>
        <w:rPr>
          <w:rFonts w:eastAsia="仿宋"/>
          <w:b/>
          <w:sz w:val="32"/>
          <w:szCs w:val="32"/>
        </w:rPr>
        <w:t>（二）政府采购支出情况</w:t>
      </w:r>
      <w:bookmarkEnd w:id="64"/>
    </w:p>
    <w:p>
      <w:pPr>
        <w:spacing w:line="600" w:lineRule="exact"/>
        <w:ind w:firstLine="640"/>
        <w:rPr>
          <w:rFonts w:eastAsia="仿宋"/>
          <w:sz w:val="32"/>
          <w:szCs w:val="32"/>
        </w:rPr>
      </w:pPr>
      <w:r>
        <w:rPr>
          <w:rFonts w:eastAsia="仿宋"/>
          <w:sz w:val="32"/>
          <w:szCs w:val="32"/>
        </w:rPr>
        <w:t>2020年，四川省农田水利局政府采购支出总额17.81万元，其中：政府采购货物支出0万元、政府采购工程支出0万元、政府采购服务支出17.81万元。主要用于单位公务用车保险、维修和保养、加油服务。授予中小企业合同金额14.59万元，占政府采购支出总额的81.92%，其中：授予小微企业合同金额4.92万元，占政府采购支出总额的27.62%。</w:t>
      </w:r>
    </w:p>
    <w:p>
      <w:pPr>
        <w:autoSpaceDE w:val="0"/>
        <w:autoSpaceDN w:val="0"/>
        <w:adjustRightInd w:val="0"/>
        <w:spacing w:line="600" w:lineRule="exact"/>
        <w:ind w:firstLine="643" w:firstLineChars="200"/>
        <w:jc w:val="left"/>
        <w:outlineLvl w:val="2"/>
        <w:rPr>
          <w:rFonts w:eastAsia="仿宋"/>
          <w:b/>
          <w:sz w:val="32"/>
          <w:szCs w:val="32"/>
        </w:rPr>
      </w:pPr>
      <w:bookmarkStart w:id="65" w:name="_Toc15377224"/>
      <w:r>
        <w:rPr>
          <w:rFonts w:eastAsia="仿宋"/>
          <w:b/>
          <w:sz w:val="32"/>
          <w:szCs w:val="32"/>
        </w:rPr>
        <w:t>（三）国有资产占有使用情况</w:t>
      </w:r>
      <w:bookmarkEnd w:id="65"/>
    </w:p>
    <w:p>
      <w:pPr>
        <w:spacing w:line="600" w:lineRule="exact"/>
        <w:ind w:firstLine="640"/>
        <w:rPr>
          <w:rFonts w:eastAsia="仿宋"/>
          <w:sz w:val="32"/>
          <w:szCs w:val="32"/>
        </w:rPr>
      </w:pPr>
      <w:r>
        <w:rPr>
          <w:rFonts w:eastAsia="仿宋"/>
          <w:sz w:val="32"/>
          <w:szCs w:val="32"/>
        </w:rPr>
        <w:t>截至2020年12月31日，四川省农田水利局共有车辆7辆，其中：应急保障用车3辆、执法执勤用车1辆、离退休干部用车2辆、其他用车1辆。</w:t>
      </w:r>
    </w:p>
    <w:p>
      <w:pPr>
        <w:numPr>
          <w:ilvl w:val="0"/>
          <w:numId w:val="3"/>
        </w:numPr>
        <w:autoSpaceDE w:val="0"/>
        <w:autoSpaceDN w:val="0"/>
        <w:adjustRightInd w:val="0"/>
        <w:spacing w:line="600" w:lineRule="exact"/>
        <w:ind w:firstLine="643" w:firstLineChars="200"/>
        <w:jc w:val="left"/>
        <w:outlineLvl w:val="2"/>
        <w:rPr>
          <w:rFonts w:eastAsia="仿宋"/>
          <w:b/>
          <w:sz w:val="32"/>
          <w:szCs w:val="32"/>
        </w:rPr>
      </w:pPr>
      <w:r>
        <w:rPr>
          <w:rFonts w:eastAsia="仿宋"/>
          <w:b/>
          <w:sz w:val="32"/>
          <w:szCs w:val="32"/>
        </w:rPr>
        <w:t>预算绩效管理情况</w:t>
      </w:r>
    </w:p>
    <w:p>
      <w:pPr>
        <w:spacing w:line="600" w:lineRule="exact"/>
        <w:ind w:firstLine="640"/>
        <w:rPr>
          <w:rFonts w:eastAsia="仿宋"/>
          <w:sz w:val="32"/>
          <w:szCs w:val="32"/>
        </w:rPr>
      </w:pPr>
      <w:r>
        <w:rPr>
          <w:rFonts w:eastAsia="仿宋"/>
          <w:sz w:val="32"/>
          <w:szCs w:val="32"/>
        </w:rPr>
        <w:t>本单位在2020年度不涉及单项100万元以上的项目支出，根据预算绩效管理要求，在预算编制时未对项目开展事前绩效评估，预算执行过程中，选取5个项目开展绩效监控，年终执行完毕后，对5个项目开展了绩效自评。</w:t>
      </w:r>
    </w:p>
    <w:p>
      <w:pPr>
        <w:spacing w:line="600" w:lineRule="exact"/>
        <w:ind w:firstLine="640"/>
        <w:rPr>
          <w:rFonts w:eastAsia="仿宋"/>
          <w:sz w:val="32"/>
          <w:szCs w:val="32"/>
        </w:rPr>
      </w:pPr>
      <w:r>
        <w:rPr>
          <w:rFonts w:eastAsia="仿宋"/>
          <w:sz w:val="32"/>
          <w:szCs w:val="32"/>
        </w:rPr>
        <w:t>本单位按要求对2020年整体支出开展绩效自评，从评价情况来看，我局预算编制合理科学、预算执行控制有序、执行结果合规有效，均达到预期效果。本单位还自行组织了5个项目支出绩效评价，从评价情况来看，项目支出均完成绩效目标任务。</w:t>
      </w:r>
    </w:p>
    <w:p>
      <w:pPr>
        <w:numPr>
          <w:ilvl w:val="0"/>
          <w:numId w:val="4"/>
        </w:numPr>
        <w:spacing w:line="600" w:lineRule="exact"/>
        <w:ind w:firstLine="640" w:firstLineChars="200"/>
        <w:rPr>
          <w:rFonts w:eastAsia="仿宋"/>
          <w:sz w:val="32"/>
          <w:szCs w:val="32"/>
        </w:rPr>
      </w:pPr>
      <w:r>
        <w:rPr>
          <w:rFonts w:eastAsia="楷体_GB2312"/>
          <w:sz w:val="32"/>
          <w:szCs w:val="32"/>
        </w:rPr>
        <w:t>项目绩效目标完成情况。</w:t>
      </w:r>
      <w:r>
        <w:rPr>
          <w:rFonts w:eastAsia="楷体_GB2312"/>
          <w:sz w:val="32"/>
          <w:szCs w:val="32"/>
        </w:rPr>
        <w:br w:type="textWrapping"/>
      </w:r>
      <w:r>
        <w:rPr>
          <w:rFonts w:eastAsia="仿宋_GB2312"/>
          <w:sz w:val="32"/>
          <w:szCs w:val="32"/>
        </w:rPr>
        <w:t xml:space="preserve">   </w:t>
      </w:r>
      <w:r>
        <w:rPr>
          <w:rFonts w:eastAsia="仿宋"/>
          <w:sz w:val="32"/>
          <w:szCs w:val="32"/>
        </w:rPr>
        <w:t xml:space="preserve"> 本单位在2020年度部门决算中反映“办公设施改造工程”“水利宣传及采编等经费”“防汛报讯费”“水利政策法规专项经费”“饮水安全、病险水库整治等农村水利重大项目管理费”等5个项目绩效目标实际完成情况。 </w:t>
      </w:r>
    </w:p>
    <w:p>
      <w:pPr>
        <w:numPr>
          <w:ilvl w:val="0"/>
          <w:numId w:val="5"/>
        </w:numPr>
        <w:spacing w:line="600" w:lineRule="exact"/>
        <w:ind w:firstLine="640" w:firstLineChars="200"/>
        <w:rPr>
          <w:rFonts w:eastAsia="仿宋"/>
          <w:sz w:val="32"/>
          <w:szCs w:val="32"/>
        </w:rPr>
      </w:pPr>
      <w:r>
        <w:rPr>
          <w:rFonts w:eastAsia="仿宋"/>
          <w:sz w:val="32"/>
          <w:szCs w:val="32"/>
        </w:rPr>
        <w:t>“办公设施改造工程”项目绩效目标完成情况综述。项目全年预算数8.68万元，执行数为8.68万元，完成预算的100%。通过项目实施，提升了职工节约用水的意识，保障了我局顺利开展节水型机关的创建工作，切实达到了节约水资源的目标。</w:t>
      </w:r>
    </w:p>
    <w:tbl>
      <w:tblPr>
        <w:tblStyle w:val="13"/>
        <w:tblpPr w:leftFromText="180" w:rightFromText="180" w:vertAnchor="text" w:horzAnchor="page" w:tblpXSpec="center" w:tblpY="423"/>
        <w:tblOverlap w:val="never"/>
        <w:tblW w:w="0" w:type="auto"/>
        <w:jc w:val="center"/>
        <w:tblLayout w:type="autofit"/>
        <w:tblCellMar>
          <w:top w:w="0" w:type="dxa"/>
          <w:left w:w="0" w:type="dxa"/>
          <w:bottom w:w="0" w:type="dxa"/>
          <w:right w:w="0" w:type="dxa"/>
        </w:tblCellMar>
      </w:tblPr>
      <w:tblGrid>
        <w:gridCol w:w="874"/>
        <w:gridCol w:w="953"/>
        <w:gridCol w:w="953"/>
        <w:gridCol w:w="1869"/>
        <w:gridCol w:w="1670"/>
        <w:gridCol w:w="2017"/>
      </w:tblGrid>
      <w:tr>
        <w:tblPrEx>
          <w:tblCellMar>
            <w:top w:w="0" w:type="dxa"/>
            <w:left w:w="0" w:type="dxa"/>
            <w:bottom w:w="0" w:type="dxa"/>
            <w:right w:w="0" w:type="dxa"/>
          </w:tblCellMar>
        </w:tblPrEx>
        <w:trPr>
          <w:trHeight w:val="1034" w:hRule="atLeast"/>
          <w:jc w:val="center"/>
        </w:trPr>
        <w:tc>
          <w:tcPr>
            <w:tcW w:w="0" w:type="auto"/>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sz w:val="36"/>
                <w:szCs w:val="36"/>
              </w:rPr>
            </w:pPr>
            <w:r>
              <w:rPr>
                <w:rFonts w:hint="eastAsia" w:ascii="宋体" w:hAnsi="宋体" w:cs="宋体"/>
                <w:b/>
                <w:bCs/>
                <w:kern w:val="0"/>
                <w:sz w:val="36"/>
                <w:szCs w:val="36"/>
                <w:lang w:bidi="ar"/>
              </w:rPr>
              <w:t>项目绩效目标完成情况表</w:t>
            </w:r>
            <w:r>
              <w:rPr>
                <w:rFonts w:hint="eastAsia" w:ascii="宋体" w:hAnsi="宋体" w:cs="宋体"/>
                <w:b/>
                <w:bCs/>
                <w:kern w:val="0"/>
                <w:sz w:val="36"/>
                <w:szCs w:val="36"/>
                <w:lang w:bidi="ar"/>
              </w:rPr>
              <w:br w:type="textWrapping"/>
            </w:r>
            <w:r>
              <w:rPr>
                <w:rFonts w:hint="eastAsia" w:ascii="宋体" w:hAnsi="宋体" w:cs="宋体"/>
                <w:kern w:val="0"/>
                <w:sz w:val="36"/>
                <w:szCs w:val="36"/>
                <w:lang w:bidi="ar"/>
              </w:rPr>
              <w:t>(2020年度)</w:t>
            </w:r>
          </w:p>
        </w:tc>
      </w:tr>
      <w:tr>
        <w:tblPrEx>
          <w:tblCellMar>
            <w:top w:w="0" w:type="dxa"/>
            <w:left w:w="0" w:type="dxa"/>
            <w:bottom w:w="0" w:type="dxa"/>
            <w:right w:w="0" w:type="dxa"/>
          </w:tblCellMar>
        </w:tblPrEx>
        <w:trPr>
          <w:trHeight w:val="276" w:hRule="atLeast"/>
          <w:jc w:val="center"/>
        </w:trPr>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项目名称</w:t>
            </w: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办公设施改造工程</w:t>
            </w:r>
          </w:p>
        </w:tc>
      </w:tr>
      <w:tr>
        <w:tblPrEx>
          <w:tblCellMar>
            <w:top w:w="0" w:type="dxa"/>
            <w:left w:w="0" w:type="dxa"/>
            <w:bottom w:w="0" w:type="dxa"/>
            <w:right w:w="0" w:type="dxa"/>
          </w:tblCellMar>
        </w:tblPrEx>
        <w:trPr>
          <w:trHeight w:val="276" w:hRule="atLeast"/>
          <w:jc w:val="center"/>
        </w:trPr>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预算单位</w:t>
            </w: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四川省农田水利局</w:t>
            </w:r>
          </w:p>
        </w:tc>
      </w:tr>
      <w:tr>
        <w:tblPrEx>
          <w:tblCellMar>
            <w:top w:w="0" w:type="dxa"/>
            <w:left w:w="0" w:type="dxa"/>
            <w:bottom w:w="0" w:type="dxa"/>
            <w:right w:w="0" w:type="dxa"/>
          </w:tblCellMar>
        </w:tblPrEx>
        <w:trPr>
          <w:trHeight w:val="276"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预算执行情况(万元)</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预算数:</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8.68</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执行数:</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8.68</w:t>
            </w:r>
          </w:p>
        </w:tc>
      </w:tr>
      <w:tr>
        <w:tblPrEx>
          <w:tblCellMar>
            <w:top w:w="0" w:type="dxa"/>
            <w:left w:w="0" w:type="dxa"/>
            <w:bottom w:w="0" w:type="dxa"/>
            <w:right w:w="0" w:type="dxa"/>
          </w:tblCellMar>
        </w:tblPrEx>
        <w:trPr>
          <w:trHeight w:val="27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其中-财政拨款:</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8.68</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其中-财政拨款:</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8.68</w:t>
            </w:r>
          </w:p>
        </w:tc>
      </w:tr>
      <w:tr>
        <w:tblPrEx>
          <w:tblCellMar>
            <w:top w:w="0" w:type="dxa"/>
            <w:left w:w="0" w:type="dxa"/>
            <w:bottom w:w="0" w:type="dxa"/>
            <w:right w:w="0" w:type="dxa"/>
          </w:tblCellMar>
        </w:tblPrEx>
        <w:trPr>
          <w:trHeight w:val="80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其它资金:</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其它资金:</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r>
      <w:tr>
        <w:tblPrEx>
          <w:tblCellMar>
            <w:top w:w="0" w:type="dxa"/>
            <w:left w:w="0" w:type="dxa"/>
            <w:bottom w:w="0" w:type="dxa"/>
            <w:right w:w="0" w:type="dxa"/>
          </w:tblCellMar>
        </w:tblPrEx>
        <w:trPr>
          <w:trHeight w:val="276"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年度目标完成情况</w:t>
            </w: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预期目标</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实际完成目标</w:t>
            </w:r>
          </w:p>
        </w:tc>
      </w:tr>
      <w:tr>
        <w:tblPrEx>
          <w:tblCellMar>
            <w:top w:w="0" w:type="dxa"/>
            <w:left w:w="0" w:type="dxa"/>
            <w:bottom w:w="0" w:type="dxa"/>
            <w:right w:w="0" w:type="dxa"/>
          </w:tblCellMar>
        </w:tblPrEx>
        <w:trPr>
          <w:trHeight w:val="325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 xml:space="preserve"> 更换单位节水设施，改造单位供水管网</w:t>
            </w:r>
            <w:r>
              <w:rPr>
                <w:rFonts w:ascii="宋体" w:hAnsi="宋体" w:cs="宋体"/>
                <w:kern w:val="0"/>
                <w:sz w:val="24"/>
                <w:lang w:bidi="ar"/>
              </w:rPr>
              <w:t>，强化用水过程管理</w:t>
            </w:r>
            <w:r>
              <w:rPr>
                <w:rFonts w:hint="eastAsia" w:ascii="宋体" w:hAnsi="宋体" w:cs="宋体"/>
                <w:kern w:val="0"/>
                <w:sz w:val="24"/>
                <w:lang w:bidi="ar"/>
              </w:rPr>
              <w:t>，提升职工节约用水意识，争创节水型机关。</w:t>
            </w:r>
          </w:p>
          <w:p>
            <w:pPr>
              <w:widowControl/>
              <w:jc w:val="center"/>
              <w:textAlignment w:val="center"/>
              <w:rPr>
                <w:rFonts w:ascii="宋体" w:hAnsi="宋体" w:cs="宋体"/>
                <w:sz w:val="24"/>
              </w:rPr>
            </w:pP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80" w:firstLineChars="200"/>
              <w:rPr>
                <w:rFonts w:ascii="宋体" w:hAnsi="宋体" w:cs="宋体"/>
                <w:sz w:val="24"/>
              </w:rPr>
            </w:pPr>
            <w:r>
              <w:rPr>
                <w:rFonts w:hint="eastAsia" w:ascii="宋体" w:hAnsi="宋体" w:cs="宋体"/>
                <w:kern w:val="0"/>
                <w:sz w:val="24"/>
                <w:lang w:bidi="ar"/>
              </w:rPr>
              <w:t>提升了职工节约用水的意识，</w:t>
            </w:r>
            <w:r>
              <w:rPr>
                <w:rFonts w:ascii="宋体" w:hAnsi="宋体" w:cs="宋体"/>
                <w:kern w:val="0"/>
                <w:sz w:val="24"/>
                <w:lang w:bidi="ar"/>
              </w:rPr>
              <w:t>节水机关建设各项工作按时按质完成，顺利通过省节水办验收。</w:t>
            </w:r>
          </w:p>
        </w:tc>
      </w:tr>
      <w:tr>
        <w:tblPrEx>
          <w:tblCellMar>
            <w:top w:w="0" w:type="dxa"/>
            <w:left w:w="0" w:type="dxa"/>
            <w:bottom w:w="0" w:type="dxa"/>
            <w:right w:w="0" w:type="dxa"/>
          </w:tblCellMar>
        </w:tblPrEx>
        <w:trPr>
          <w:trHeight w:val="1042" w:hRule="atLeast"/>
          <w:jc w:val="center"/>
        </w:trPr>
        <w:tc>
          <w:tcPr>
            <w:tcW w:w="0" w:type="auto"/>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绩效指标完成情况</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一级指标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二级指标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三级指标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预期指标值(包含数字及文字描述)</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实际完成指标值(包含数字及文字描述)</w:t>
            </w:r>
          </w:p>
        </w:tc>
      </w:tr>
      <w:tr>
        <w:tblPrEx>
          <w:tblCellMar>
            <w:top w:w="0" w:type="dxa"/>
            <w:left w:w="0" w:type="dxa"/>
            <w:bottom w:w="0" w:type="dxa"/>
            <w:right w:w="0" w:type="dxa"/>
          </w:tblCellMar>
        </w:tblPrEx>
        <w:trPr>
          <w:trHeight w:val="853" w:hRule="atLeast"/>
          <w:jc w:val="center"/>
        </w:trPr>
        <w:tc>
          <w:tcPr>
            <w:tcW w:w="0" w:type="auto"/>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项目完成指标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数量指标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更换节水器具数量</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98个</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98个</w:t>
            </w:r>
          </w:p>
        </w:tc>
      </w:tr>
      <w:tr>
        <w:tblPrEx>
          <w:tblCellMar>
            <w:top w:w="0" w:type="dxa"/>
            <w:left w:w="0" w:type="dxa"/>
            <w:bottom w:w="0" w:type="dxa"/>
            <w:right w:w="0" w:type="dxa"/>
          </w:tblCellMar>
        </w:tblPrEx>
        <w:trPr>
          <w:trHeight w:val="853" w:hRule="atLeast"/>
          <w:jc w:val="center"/>
        </w:trPr>
        <w:tc>
          <w:tcPr>
            <w:tcW w:w="0" w:type="auto"/>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项目完成指标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数量指标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开展节水宣传</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≥1次</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1次</w:t>
            </w:r>
          </w:p>
        </w:tc>
      </w:tr>
      <w:tr>
        <w:tblPrEx>
          <w:tblCellMar>
            <w:top w:w="0" w:type="dxa"/>
            <w:left w:w="0" w:type="dxa"/>
            <w:bottom w:w="0" w:type="dxa"/>
            <w:right w:w="0" w:type="dxa"/>
          </w:tblCellMar>
        </w:tblPrEx>
        <w:trPr>
          <w:trHeight w:val="1022" w:hRule="atLeast"/>
          <w:jc w:val="center"/>
        </w:trPr>
        <w:tc>
          <w:tcPr>
            <w:tcW w:w="0" w:type="auto"/>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项目完成指标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数量指标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更换各级水表</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10只以上</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12只</w:t>
            </w:r>
          </w:p>
        </w:tc>
      </w:tr>
      <w:tr>
        <w:tblPrEx>
          <w:tblCellMar>
            <w:top w:w="0" w:type="dxa"/>
            <w:left w:w="0" w:type="dxa"/>
            <w:bottom w:w="0" w:type="dxa"/>
            <w:right w:w="0" w:type="dxa"/>
          </w:tblCellMar>
        </w:tblPrEx>
        <w:trPr>
          <w:trHeight w:val="1022" w:hRule="atLeast"/>
          <w:jc w:val="center"/>
        </w:trPr>
        <w:tc>
          <w:tcPr>
            <w:tcW w:w="0" w:type="auto"/>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项目完成指标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数量指标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更新改造供水管网</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2500</w:t>
            </w:r>
            <w:r>
              <w:rPr>
                <w:rFonts w:ascii="宋体" w:hAnsi="宋体" w:cs="宋体"/>
                <w:sz w:val="24"/>
              </w:rPr>
              <w:t>米</w:t>
            </w:r>
            <w:r>
              <w:rPr>
                <w:rFonts w:hint="eastAsia" w:ascii="宋体" w:hAnsi="宋体" w:cs="宋体"/>
                <w:sz w:val="24"/>
              </w:rPr>
              <w:t>以上</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2750米</w:t>
            </w:r>
          </w:p>
        </w:tc>
      </w:tr>
      <w:tr>
        <w:tblPrEx>
          <w:tblCellMar>
            <w:top w:w="0" w:type="dxa"/>
            <w:left w:w="0" w:type="dxa"/>
            <w:bottom w:w="0" w:type="dxa"/>
            <w:right w:w="0" w:type="dxa"/>
          </w:tblCellMar>
        </w:tblPrEx>
        <w:trPr>
          <w:trHeight w:val="1022" w:hRule="atLeast"/>
          <w:jc w:val="center"/>
        </w:trPr>
        <w:tc>
          <w:tcPr>
            <w:tcW w:w="0" w:type="auto"/>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项目完成指标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数量指标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安装雨</w:t>
            </w:r>
            <w:r>
              <w:rPr>
                <w:rFonts w:hint="eastAsia" w:ascii="宋体" w:hAnsi="宋体" w:cs="宋体"/>
                <w:sz w:val="24"/>
              </w:rPr>
              <w:t>水</w:t>
            </w:r>
            <w:r>
              <w:rPr>
                <w:rFonts w:ascii="宋体" w:hAnsi="宋体" w:cs="宋体"/>
                <w:sz w:val="24"/>
              </w:rPr>
              <w:t>再利用节水装置</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1处以上</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3处</w:t>
            </w:r>
          </w:p>
        </w:tc>
      </w:tr>
      <w:tr>
        <w:tblPrEx>
          <w:tblCellMar>
            <w:top w:w="0" w:type="dxa"/>
            <w:left w:w="0" w:type="dxa"/>
            <w:bottom w:w="0" w:type="dxa"/>
            <w:right w:w="0" w:type="dxa"/>
          </w:tblCellMar>
        </w:tblPrEx>
        <w:trPr>
          <w:trHeight w:val="1022" w:hRule="atLeast"/>
          <w:jc w:val="center"/>
        </w:trPr>
        <w:tc>
          <w:tcPr>
            <w:tcW w:w="0" w:type="auto"/>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项目完成指标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质量指标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节水型机关建设评审合格率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100%</w:t>
            </w:r>
          </w:p>
        </w:tc>
      </w:tr>
      <w:tr>
        <w:tblPrEx>
          <w:tblCellMar>
            <w:top w:w="0" w:type="dxa"/>
            <w:left w:w="0" w:type="dxa"/>
            <w:bottom w:w="0" w:type="dxa"/>
            <w:right w:w="0" w:type="dxa"/>
          </w:tblCellMar>
        </w:tblPrEx>
        <w:trPr>
          <w:trHeight w:val="1042" w:hRule="atLeast"/>
          <w:jc w:val="center"/>
        </w:trPr>
        <w:tc>
          <w:tcPr>
            <w:tcW w:w="0" w:type="auto"/>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项目完成指标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质量指标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节水器具验收合格率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100%</w:t>
            </w:r>
          </w:p>
        </w:tc>
      </w:tr>
      <w:tr>
        <w:tblPrEx>
          <w:tblCellMar>
            <w:top w:w="0" w:type="dxa"/>
            <w:left w:w="0" w:type="dxa"/>
            <w:bottom w:w="0" w:type="dxa"/>
            <w:right w:w="0" w:type="dxa"/>
          </w:tblCellMar>
        </w:tblPrEx>
        <w:trPr>
          <w:trHeight w:val="1042" w:hRule="atLeast"/>
          <w:jc w:val="center"/>
        </w:trPr>
        <w:tc>
          <w:tcPr>
            <w:tcW w:w="0" w:type="auto"/>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项目完成指标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时效指标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节水设施改造按期完成率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bCs/>
                <w:sz w:val="24"/>
              </w:rPr>
            </w:pPr>
            <w:r>
              <w:rPr>
                <w:rFonts w:hint="eastAsia" w:ascii="宋体" w:hAnsi="宋体" w:cs="宋体"/>
                <w:sz w:val="24"/>
              </w:rPr>
              <w:t>100%</w:t>
            </w:r>
          </w:p>
        </w:tc>
      </w:tr>
      <w:tr>
        <w:tblPrEx>
          <w:tblCellMar>
            <w:top w:w="0" w:type="dxa"/>
            <w:left w:w="0" w:type="dxa"/>
            <w:bottom w:w="0" w:type="dxa"/>
            <w:right w:w="0" w:type="dxa"/>
          </w:tblCellMar>
        </w:tblPrEx>
        <w:trPr>
          <w:trHeight w:val="1042" w:hRule="atLeast"/>
          <w:jc w:val="center"/>
        </w:trPr>
        <w:tc>
          <w:tcPr>
            <w:tcW w:w="0" w:type="auto"/>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效益指标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生态效益指标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人均日用水节约率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≥30%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46.12%</w:t>
            </w:r>
          </w:p>
        </w:tc>
      </w:tr>
      <w:tr>
        <w:tblPrEx>
          <w:tblCellMar>
            <w:top w:w="0" w:type="dxa"/>
            <w:left w:w="0" w:type="dxa"/>
            <w:bottom w:w="0" w:type="dxa"/>
            <w:right w:w="0" w:type="dxa"/>
          </w:tblCellMar>
        </w:tblPrEx>
        <w:trPr>
          <w:trHeight w:val="1050" w:hRule="atLeast"/>
          <w:jc w:val="center"/>
        </w:trPr>
        <w:tc>
          <w:tcPr>
            <w:tcW w:w="0" w:type="auto"/>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满意度指标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满意度指标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服务对象满意度</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≥90%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100%</w:t>
            </w:r>
          </w:p>
        </w:tc>
      </w:tr>
    </w:tbl>
    <w:p>
      <w:pPr>
        <w:pStyle w:val="2"/>
        <w:numPr>
          <w:ilvl w:val="0"/>
          <w:numId w:val="5"/>
        </w:numPr>
        <w:spacing w:before="93" w:line="600" w:lineRule="exact"/>
        <w:ind w:firstLine="640" w:firstLineChars="200"/>
        <w:rPr>
          <w:rFonts w:ascii="Times New Roman" w:eastAsia="仿宋"/>
          <w:color w:val="000000"/>
          <w:sz w:val="32"/>
          <w:szCs w:val="32"/>
        </w:rPr>
      </w:pPr>
      <w:r>
        <w:rPr>
          <w:rFonts w:ascii="Times New Roman" w:eastAsia="仿宋"/>
          <w:sz w:val="32"/>
          <w:szCs w:val="32"/>
        </w:rPr>
        <w:t>“水利宣传及采编等经费”项目绩效目标完成情况综述。项目全年预算数22万元，预算调整至其他项目5.54万元，执行数为16.46万元，完成预算的100%。通过项目实施，不仅</w:t>
      </w:r>
      <w:r>
        <w:rPr>
          <w:rFonts w:ascii="Times New Roman" w:eastAsia="仿宋"/>
          <w:color w:val="000000"/>
          <w:sz w:val="32"/>
          <w:szCs w:val="32"/>
        </w:rPr>
        <w:t>加强了社会监督，营造了农村水利安全生产全民参与，人人关注安全的浓厚氛围，而且落实了相关责任人安全责任，为防范遏制重特大水利安全生产事故发生筑牢思想基础，促进全省农村水利安全生产形势稳定向好。</w:t>
      </w:r>
    </w:p>
    <w:tbl>
      <w:tblPr>
        <w:tblStyle w:val="13"/>
        <w:tblpPr w:leftFromText="180" w:rightFromText="180" w:vertAnchor="text" w:horzAnchor="page" w:tblpXSpec="center" w:tblpY="423"/>
        <w:tblOverlap w:val="never"/>
        <w:tblW w:w="0" w:type="auto"/>
        <w:jc w:val="center"/>
        <w:tblLayout w:type="autofit"/>
        <w:tblCellMar>
          <w:top w:w="0" w:type="dxa"/>
          <w:left w:w="0" w:type="dxa"/>
          <w:bottom w:w="0" w:type="dxa"/>
          <w:right w:w="0" w:type="dxa"/>
        </w:tblCellMar>
      </w:tblPr>
      <w:tblGrid>
        <w:gridCol w:w="935"/>
        <w:gridCol w:w="850"/>
        <w:gridCol w:w="743"/>
        <w:gridCol w:w="2689"/>
        <w:gridCol w:w="1401"/>
        <w:gridCol w:w="1718"/>
      </w:tblGrid>
      <w:tr>
        <w:tblPrEx>
          <w:tblCellMar>
            <w:top w:w="0" w:type="dxa"/>
            <w:left w:w="0" w:type="dxa"/>
            <w:bottom w:w="0" w:type="dxa"/>
            <w:right w:w="0" w:type="dxa"/>
          </w:tblCellMar>
        </w:tblPrEx>
        <w:trPr>
          <w:trHeight w:val="1215" w:hRule="atLeast"/>
          <w:jc w:val="center"/>
        </w:trPr>
        <w:tc>
          <w:tcPr>
            <w:tcW w:w="0" w:type="auto"/>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sz w:val="36"/>
                <w:szCs w:val="36"/>
              </w:rPr>
            </w:pPr>
            <w:r>
              <w:rPr>
                <w:rFonts w:hint="eastAsia" w:ascii="宋体" w:hAnsi="宋体" w:cs="宋体"/>
                <w:b/>
                <w:bCs/>
                <w:kern w:val="0"/>
                <w:sz w:val="36"/>
                <w:szCs w:val="36"/>
                <w:lang w:bidi="ar"/>
              </w:rPr>
              <w:t>项目绩效目标完成情况表</w:t>
            </w:r>
            <w:r>
              <w:rPr>
                <w:rFonts w:hint="eastAsia" w:ascii="宋体" w:hAnsi="宋体" w:cs="宋体"/>
                <w:b/>
                <w:bCs/>
                <w:kern w:val="0"/>
                <w:sz w:val="36"/>
                <w:szCs w:val="36"/>
                <w:lang w:bidi="ar"/>
              </w:rPr>
              <w:br w:type="textWrapping"/>
            </w:r>
            <w:r>
              <w:rPr>
                <w:rFonts w:hint="eastAsia" w:ascii="宋体" w:hAnsi="宋体" w:cs="宋体"/>
                <w:kern w:val="0"/>
                <w:sz w:val="36"/>
                <w:szCs w:val="36"/>
                <w:lang w:bidi="ar"/>
              </w:rPr>
              <w:t>(2020年度)</w:t>
            </w:r>
          </w:p>
        </w:tc>
      </w:tr>
      <w:tr>
        <w:tblPrEx>
          <w:tblCellMar>
            <w:top w:w="0" w:type="dxa"/>
            <w:left w:w="0" w:type="dxa"/>
            <w:bottom w:w="0" w:type="dxa"/>
            <w:right w:w="0" w:type="dxa"/>
          </w:tblCellMar>
        </w:tblPrEx>
        <w:trPr>
          <w:trHeight w:val="325" w:hRule="atLeast"/>
          <w:jc w:val="center"/>
        </w:trPr>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项目名称</w:t>
            </w: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水利宣传及采编等经费</w:t>
            </w:r>
          </w:p>
        </w:tc>
      </w:tr>
      <w:tr>
        <w:tblPrEx>
          <w:tblCellMar>
            <w:top w:w="0" w:type="dxa"/>
            <w:left w:w="0" w:type="dxa"/>
            <w:bottom w:w="0" w:type="dxa"/>
            <w:right w:w="0" w:type="dxa"/>
          </w:tblCellMar>
        </w:tblPrEx>
        <w:trPr>
          <w:trHeight w:val="325" w:hRule="atLeast"/>
          <w:jc w:val="center"/>
        </w:trPr>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预算单位</w:t>
            </w: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四川省农田水利局</w:t>
            </w:r>
          </w:p>
        </w:tc>
      </w:tr>
      <w:tr>
        <w:tblPrEx>
          <w:tblCellMar>
            <w:top w:w="0" w:type="dxa"/>
            <w:left w:w="0" w:type="dxa"/>
            <w:bottom w:w="0" w:type="dxa"/>
            <w:right w:w="0" w:type="dxa"/>
          </w:tblCellMar>
        </w:tblPrEx>
        <w:trPr>
          <w:trHeight w:val="32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预算执行情况(万元)</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预算数:</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22</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执行数:</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16.46</w:t>
            </w:r>
          </w:p>
        </w:tc>
      </w:tr>
      <w:tr>
        <w:tblPrEx>
          <w:tblCellMar>
            <w:top w:w="0" w:type="dxa"/>
            <w:left w:w="0" w:type="dxa"/>
            <w:bottom w:w="0" w:type="dxa"/>
            <w:right w:w="0" w:type="dxa"/>
          </w:tblCellMar>
        </w:tblPrEx>
        <w:trPr>
          <w:trHeight w:val="32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其中-财政拨款:</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22</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其中-财政拨款:</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16.46</w:t>
            </w:r>
          </w:p>
        </w:tc>
      </w:tr>
      <w:tr>
        <w:tblPrEx>
          <w:tblCellMar>
            <w:top w:w="0" w:type="dxa"/>
            <w:left w:w="0" w:type="dxa"/>
            <w:bottom w:w="0" w:type="dxa"/>
            <w:right w:w="0" w:type="dxa"/>
          </w:tblCellMar>
        </w:tblPrEx>
        <w:trPr>
          <w:trHeight w:val="90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其它资金:</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其它资金:</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r>
      <w:tr>
        <w:tblPrEx>
          <w:tblCellMar>
            <w:top w:w="0" w:type="dxa"/>
            <w:left w:w="0" w:type="dxa"/>
            <w:bottom w:w="0" w:type="dxa"/>
            <w:right w:w="0" w:type="dxa"/>
          </w:tblCellMar>
        </w:tblPrEx>
        <w:trPr>
          <w:trHeight w:val="32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年度目标完成情况</w:t>
            </w: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预期目标</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实际完成目标</w:t>
            </w:r>
          </w:p>
        </w:tc>
      </w:tr>
      <w:tr>
        <w:tblPrEx>
          <w:tblCellMar>
            <w:top w:w="0" w:type="dxa"/>
            <w:left w:w="0" w:type="dxa"/>
            <w:bottom w:w="0" w:type="dxa"/>
            <w:right w:w="0" w:type="dxa"/>
          </w:tblCellMar>
        </w:tblPrEx>
        <w:trPr>
          <w:trHeight w:val="113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明确相关项目责任人责任，加强社会监督；注重水利相关政策和水利成效宣传，展现我省农村水利事业发展的风貌。</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完成全省大中型水库安全度汛及安全管理责任人公示，开展安全生产宣传。</w:t>
            </w:r>
          </w:p>
        </w:tc>
      </w:tr>
      <w:tr>
        <w:tblPrEx>
          <w:tblCellMar>
            <w:top w:w="0" w:type="dxa"/>
            <w:left w:w="0" w:type="dxa"/>
            <w:bottom w:w="0" w:type="dxa"/>
            <w:right w:w="0" w:type="dxa"/>
          </w:tblCellMar>
        </w:tblPrEx>
        <w:trPr>
          <w:trHeight w:val="1027" w:hRule="atLeast"/>
          <w:jc w:val="center"/>
        </w:trPr>
        <w:tc>
          <w:tcPr>
            <w:tcW w:w="0" w:type="auto"/>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绩效指标完成情况</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一级指标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二级指标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三级指标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预期指标值(包含数字及文字描述)</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实际完成指标值(包含数字及文字描述)</w:t>
            </w:r>
          </w:p>
        </w:tc>
      </w:tr>
      <w:tr>
        <w:tblPrEx>
          <w:tblCellMar>
            <w:top w:w="0" w:type="dxa"/>
            <w:left w:w="0" w:type="dxa"/>
            <w:bottom w:w="0" w:type="dxa"/>
            <w:right w:w="0" w:type="dxa"/>
          </w:tblCellMar>
        </w:tblPrEx>
        <w:trPr>
          <w:trHeight w:val="941" w:hRule="atLeast"/>
          <w:jc w:val="center"/>
        </w:trPr>
        <w:tc>
          <w:tcPr>
            <w:tcW w:w="0" w:type="auto"/>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项目完成指标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数量指标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完成全省大中型水库安全度汛及安全管理责任人公示</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1次</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1次</w:t>
            </w:r>
          </w:p>
        </w:tc>
      </w:tr>
      <w:tr>
        <w:tblPrEx>
          <w:tblCellMar>
            <w:top w:w="0" w:type="dxa"/>
            <w:left w:w="0" w:type="dxa"/>
            <w:bottom w:w="0" w:type="dxa"/>
            <w:right w:w="0" w:type="dxa"/>
          </w:tblCellMar>
        </w:tblPrEx>
        <w:trPr>
          <w:trHeight w:val="1027" w:hRule="atLeast"/>
          <w:jc w:val="center"/>
        </w:trPr>
        <w:tc>
          <w:tcPr>
            <w:tcW w:w="0" w:type="auto"/>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项目完成指标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数量指标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开展安全生产宣传</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≥1次</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1次</w:t>
            </w:r>
          </w:p>
        </w:tc>
      </w:tr>
      <w:tr>
        <w:tblPrEx>
          <w:tblCellMar>
            <w:top w:w="0" w:type="dxa"/>
            <w:left w:w="0" w:type="dxa"/>
            <w:bottom w:w="0" w:type="dxa"/>
            <w:right w:w="0" w:type="dxa"/>
          </w:tblCellMar>
        </w:tblPrEx>
        <w:trPr>
          <w:trHeight w:val="1027" w:hRule="atLeast"/>
          <w:jc w:val="center"/>
        </w:trPr>
        <w:tc>
          <w:tcPr>
            <w:tcW w:w="0" w:type="auto"/>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效益指标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社会效益</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对于安全生产工作的促进作用</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有效</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有效</w:t>
            </w:r>
          </w:p>
        </w:tc>
      </w:tr>
      <w:tr>
        <w:tblPrEx>
          <w:tblCellMar>
            <w:top w:w="0" w:type="dxa"/>
            <w:left w:w="0" w:type="dxa"/>
            <w:bottom w:w="0" w:type="dxa"/>
            <w:right w:w="0" w:type="dxa"/>
          </w:tblCellMar>
        </w:tblPrEx>
        <w:trPr>
          <w:trHeight w:val="1272" w:hRule="atLeast"/>
          <w:jc w:val="center"/>
        </w:trPr>
        <w:tc>
          <w:tcPr>
            <w:tcW w:w="0" w:type="auto"/>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效益指标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社会效益</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对于水库安全度汛工作的促进作用</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有效</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有效</w:t>
            </w:r>
          </w:p>
        </w:tc>
      </w:tr>
      <w:tr>
        <w:tblPrEx>
          <w:tblCellMar>
            <w:top w:w="0" w:type="dxa"/>
            <w:left w:w="0" w:type="dxa"/>
            <w:bottom w:w="0" w:type="dxa"/>
            <w:right w:w="0" w:type="dxa"/>
          </w:tblCellMar>
        </w:tblPrEx>
        <w:trPr>
          <w:trHeight w:val="1034" w:hRule="atLeast"/>
          <w:jc w:val="center"/>
        </w:trPr>
        <w:tc>
          <w:tcPr>
            <w:tcW w:w="0" w:type="auto"/>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满意度指标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满意度指标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服务对象满意度</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w:t>
            </w:r>
          </w:p>
        </w:tc>
      </w:tr>
    </w:tbl>
    <w:p>
      <w:pPr>
        <w:numPr>
          <w:ilvl w:val="0"/>
          <w:numId w:val="5"/>
        </w:numPr>
        <w:spacing w:line="600" w:lineRule="exact"/>
        <w:ind w:firstLine="640" w:firstLineChars="200"/>
        <w:rPr>
          <w:rFonts w:eastAsia="仿宋"/>
          <w:sz w:val="32"/>
          <w:szCs w:val="32"/>
        </w:rPr>
      </w:pPr>
      <w:r>
        <w:rPr>
          <w:rFonts w:eastAsia="仿宋"/>
          <w:sz w:val="32"/>
          <w:szCs w:val="32"/>
        </w:rPr>
        <w:t>“</w:t>
      </w:r>
      <w:r>
        <w:rPr>
          <w:rFonts w:eastAsia="仿宋"/>
          <w:color w:val="000000"/>
          <w:kern w:val="0"/>
          <w:sz w:val="32"/>
          <w:szCs w:val="32"/>
        </w:rPr>
        <w:t>防汛报汛费</w:t>
      </w:r>
      <w:r>
        <w:rPr>
          <w:rFonts w:eastAsia="仿宋"/>
          <w:sz w:val="32"/>
          <w:szCs w:val="32"/>
        </w:rPr>
        <w:t>”</w:t>
      </w:r>
      <w:r>
        <w:rPr>
          <w:rFonts w:eastAsia="仿宋"/>
          <w:color w:val="000000"/>
          <w:kern w:val="0"/>
          <w:sz w:val="32"/>
          <w:szCs w:val="32"/>
        </w:rPr>
        <w:t>项目绩效目标完成情况综述。项目全年预算数6万元，执行数为</w:t>
      </w:r>
      <w:r>
        <w:rPr>
          <w:rFonts w:eastAsia="仿宋"/>
          <w:sz w:val="32"/>
          <w:szCs w:val="32"/>
        </w:rPr>
        <w:t>6万元，完成预算的100%。通过项目实施，强化</w:t>
      </w:r>
      <w:r>
        <w:rPr>
          <w:rFonts w:hint="eastAsia" w:eastAsia="仿宋"/>
          <w:sz w:val="32"/>
          <w:szCs w:val="32"/>
        </w:rPr>
        <w:t>汛期</w:t>
      </w:r>
      <w:r>
        <w:rPr>
          <w:rFonts w:eastAsia="仿宋"/>
          <w:sz w:val="32"/>
          <w:szCs w:val="32"/>
        </w:rPr>
        <w:t>值班值守和信息报送，及时、科学处置突发情况，最大限度保障人民群众生命财产安全。</w:t>
      </w:r>
    </w:p>
    <w:tbl>
      <w:tblPr>
        <w:tblStyle w:val="13"/>
        <w:tblpPr w:leftFromText="180" w:rightFromText="180" w:vertAnchor="text" w:horzAnchor="page" w:tblpXSpec="center" w:tblpY="423"/>
        <w:tblOverlap w:val="never"/>
        <w:tblW w:w="0" w:type="auto"/>
        <w:jc w:val="center"/>
        <w:tblLayout w:type="autofit"/>
        <w:tblCellMar>
          <w:top w:w="0" w:type="dxa"/>
          <w:left w:w="0" w:type="dxa"/>
          <w:bottom w:w="0" w:type="dxa"/>
          <w:right w:w="0" w:type="dxa"/>
        </w:tblCellMar>
      </w:tblPr>
      <w:tblGrid>
        <w:gridCol w:w="685"/>
        <w:gridCol w:w="1560"/>
        <w:gridCol w:w="1342"/>
        <w:gridCol w:w="1995"/>
        <w:gridCol w:w="1652"/>
        <w:gridCol w:w="1102"/>
      </w:tblGrid>
      <w:tr>
        <w:tblPrEx>
          <w:tblCellMar>
            <w:top w:w="0" w:type="dxa"/>
            <w:left w:w="0" w:type="dxa"/>
            <w:bottom w:w="0" w:type="dxa"/>
            <w:right w:w="0" w:type="dxa"/>
          </w:tblCellMar>
        </w:tblPrEx>
        <w:trPr>
          <w:trHeight w:val="1034" w:hRule="atLeast"/>
          <w:jc w:val="center"/>
        </w:trPr>
        <w:tc>
          <w:tcPr>
            <w:tcW w:w="0" w:type="auto"/>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sz w:val="36"/>
                <w:szCs w:val="36"/>
              </w:rPr>
            </w:pPr>
            <w:r>
              <w:rPr>
                <w:rFonts w:hint="eastAsia" w:ascii="宋体" w:hAnsi="宋体" w:cs="宋体"/>
                <w:b/>
                <w:bCs/>
                <w:kern w:val="0"/>
                <w:sz w:val="36"/>
                <w:szCs w:val="36"/>
                <w:lang w:bidi="ar"/>
              </w:rPr>
              <w:t>项目绩效目标完成情况表</w:t>
            </w:r>
            <w:r>
              <w:rPr>
                <w:rFonts w:hint="eastAsia" w:ascii="宋体" w:hAnsi="宋体" w:cs="宋体"/>
                <w:b/>
                <w:bCs/>
                <w:kern w:val="0"/>
                <w:sz w:val="36"/>
                <w:szCs w:val="36"/>
                <w:lang w:bidi="ar"/>
              </w:rPr>
              <w:br w:type="textWrapping"/>
            </w:r>
            <w:r>
              <w:rPr>
                <w:rFonts w:hint="eastAsia" w:ascii="宋体" w:hAnsi="宋体" w:cs="宋体"/>
                <w:kern w:val="0"/>
                <w:sz w:val="36"/>
                <w:szCs w:val="36"/>
                <w:lang w:bidi="ar"/>
              </w:rPr>
              <w:t>(2020年度)</w:t>
            </w:r>
          </w:p>
        </w:tc>
      </w:tr>
      <w:tr>
        <w:tblPrEx>
          <w:tblCellMar>
            <w:top w:w="0" w:type="dxa"/>
            <w:left w:w="0" w:type="dxa"/>
            <w:bottom w:w="0" w:type="dxa"/>
            <w:right w:w="0" w:type="dxa"/>
          </w:tblCellMar>
        </w:tblPrEx>
        <w:trPr>
          <w:trHeight w:val="276" w:hRule="atLeast"/>
          <w:jc w:val="center"/>
        </w:trPr>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项目名称</w:t>
            </w: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防汛报汛费</w:t>
            </w:r>
          </w:p>
        </w:tc>
      </w:tr>
      <w:tr>
        <w:tblPrEx>
          <w:tblCellMar>
            <w:top w:w="0" w:type="dxa"/>
            <w:left w:w="0" w:type="dxa"/>
            <w:bottom w:w="0" w:type="dxa"/>
            <w:right w:w="0" w:type="dxa"/>
          </w:tblCellMar>
        </w:tblPrEx>
        <w:trPr>
          <w:trHeight w:val="276" w:hRule="atLeast"/>
          <w:jc w:val="center"/>
        </w:trPr>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预算单位</w:t>
            </w: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四川省农田水利局</w:t>
            </w:r>
          </w:p>
        </w:tc>
      </w:tr>
      <w:tr>
        <w:tblPrEx>
          <w:tblCellMar>
            <w:top w:w="0" w:type="dxa"/>
            <w:left w:w="0" w:type="dxa"/>
            <w:bottom w:w="0" w:type="dxa"/>
            <w:right w:w="0" w:type="dxa"/>
          </w:tblCellMar>
        </w:tblPrEx>
        <w:trPr>
          <w:trHeight w:val="276"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预算执行情况(万元)</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预算数:</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6</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执行数:</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6</w:t>
            </w:r>
          </w:p>
        </w:tc>
      </w:tr>
      <w:tr>
        <w:tblPrEx>
          <w:tblCellMar>
            <w:top w:w="0" w:type="dxa"/>
            <w:left w:w="0" w:type="dxa"/>
            <w:bottom w:w="0" w:type="dxa"/>
            <w:right w:w="0" w:type="dxa"/>
          </w:tblCellMar>
        </w:tblPrEx>
        <w:trPr>
          <w:trHeight w:val="27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其中-财政拨款:</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6</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其中-财政拨款:</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6</w:t>
            </w:r>
          </w:p>
        </w:tc>
      </w:tr>
      <w:tr>
        <w:tblPrEx>
          <w:tblCellMar>
            <w:top w:w="0" w:type="dxa"/>
            <w:left w:w="0" w:type="dxa"/>
            <w:bottom w:w="0" w:type="dxa"/>
            <w:right w:w="0" w:type="dxa"/>
          </w:tblCellMar>
        </w:tblPrEx>
        <w:trPr>
          <w:trHeight w:val="151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其它资金:</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其它资金:</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r>
      <w:tr>
        <w:tblPrEx>
          <w:tblCellMar>
            <w:top w:w="0" w:type="dxa"/>
            <w:left w:w="0" w:type="dxa"/>
            <w:bottom w:w="0" w:type="dxa"/>
            <w:right w:w="0" w:type="dxa"/>
          </w:tblCellMar>
        </w:tblPrEx>
        <w:trPr>
          <w:trHeight w:val="276"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年度目标完成情况</w:t>
            </w: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预期目标</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实际完成目标</w:t>
            </w:r>
          </w:p>
        </w:tc>
      </w:tr>
      <w:tr>
        <w:tblPrEx>
          <w:tblCellMar>
            <w:top w:w="0" w:type="dxa"/>
            <w:left w:w="0" w:type="dxa"/>
            <w:bottom w:w="0" w:type="dxa"/>
            <w:right w:w="0" w:type="dxa"/>
          </w:tblCellMar>
        </w:tblPrEx>
        <w:trPr>
          <w:trHeight w:val="115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根据水利厅对防汛工作的相关部署，为进一步提升防汛减灾能力，我局计划在汛期实施24小时值班制度，每天对30座水库的值班人员在岗情况、水库水位情况、水库水质情况进行抽查。对有险情的工程，及时派出工作组赴现场指导抢险救灾。</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完成汛期值班工作，确保水库险情及时发现、及时报告</w:t>
            </w:r>
          </w:p>
        </w:tc>
      </w:tr>
      <w:tr>
        <w:tblPrEx>
          <w:tblCellMar>
            <w:top w:w="0" w:type="dxa"/>
            <w:left w:w="0" w:type="dxa"/>
            <w:bottom w:w="0" w:type="dxa"/>
            <w:right w:w="0" w:type="dxa"/>
          </w:tblCellMar>
        </w:tblPrEx>
        <w:trPr>
          <w:trHeight w:val="1042" w:hRule="atLeast"/>
          <w:jc w:val="center"/>
        </w:trPr>
        <w:tc>
          <w:tcPr>
            <w:tcW w:w="0" w:type="auto"/>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绩效指标完成情况</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一级指标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二级指标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三级指标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预期指标值(包含数字及文字描述)</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实际完成指标值(包含数字及文字描述)</w:t>
            </w:r>
          </w:p>
        </w:tc>
      </w:tr>
      <w:tr>
        <w:tblPrEx>
          <w:tblCellMar>
            <w:top w:w="0" w:type="dxa"/>
            <w:left w:w="0" w:type="dxa"/>
            <w:bottom w:w="0" w:type="dxa"/>
            <w:right w:w="0" w:type="dxa"/>
          </w:tblCellMar>
        </w:tblPrEx>
        <w:trPr>
          <w:trHeight w:val="953" w:hRule="atLeast"/>
          <w:jc w:val="center"/>
        </w:trPr>
        <w:tc>
          <w:tcPr>
            <w:tcW w:w="0" w:type="auto"/>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项目完成指标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数量指标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防汛值班天数</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160天</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156天</w:t>
            </w:r>
          </w:p>
        </w:tc>
      </w:tr>
      <w:tr>
        <w:tblPrEx>
          <w:tblCellMar>
            <w:top w:w="0" w:type="dxa"/>
            <w:left w:w="0" w:type="dxa"/>
            <w:bottom w:w="0" w:type="dxa"/>
            <w:right w:w="0" w:type="dxa"/>
          </w:tblCellMar>
        </w:tblPrEx>
        <w:trPr>
          <w:trHeight w:val="1297" w:hRule="atLeast"/>
          <w:jc w:val="center"/>
        </w:trPr>
        <w:tc>
          <w:tcPr>
            <w:tcW w:w="0" w:type="auto"/>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项目完成指标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质量指标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水库抽查率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100%</w:t>
            </w:r>
          </w:p>
        </w:tc>
      </w:tr>
      <w:tr>
        <w:tblPrEx>
          <w:tblCellMar>
            <w:top w:w="0" w:type="dxa"/>
            <w:left w:w="0" w:type="dxa"/>
            <w:bottom w:w="0" w:type="dxa"/>
            <w:right w:w="0" w:type="dxa"/>
          </w:tblCellMar>
        </w:tblPrEx>
        <w:trPr>
          <w:trHeight w:val="1042" w:hRule="atLeast"/>
          <w:jc w:val="center"/>
        </w:trPr>
        <w:tc>
          <w:tcPr>
            <w:tcW w:w="0" w:type="auto"/>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项目完成指标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时效指标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防汛值班安排</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5-10月</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5-10月</w:t>
            </w:r>
          </w:p>
        </w:tc>
      </w:tr>
      <w:tr>
        <w:tblPrEx>
          <w:tblCellMar>
            <w:top w:w="0" w:type="dxa"/>
            <w:left w:w="0" w:type="dxa"/>
            <w:bottom w:w="0" w:type="dxa"/>
            <w:right w:w="0" w:type="dxa"/>
          </w:tblCellMar>
        </w:tblPrEx>
        <w:trPr>
          <w:trHeight w:val="1042" w:hRule="atLeast"/>
          <w:jc w:val="center"/>
        </w:trPr>
        <w:tc>
          <w:tcPr>
            <w:tcW w:w="0" w:type="auto"/>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效益指标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社会效益</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保障防汛抢险工作</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通过开展防汛值班工作，及时了解汛期水库信息，提升防汛减灾能力。</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有效保障</w:t>
            </w:r>
          </w:p>
        </w:tc>
      </w:tr>
      <w:tr>
        <w:tblPrEx>
          <w:tblCellMar>
            <w:top w:w="0" w:type="dxa"/>
            <w:left w:w="0" w:type="dxa"/>
            <w:bottom w:w="0" w:type="dxa"/>
            <w:right w:w="0" w:type="dxa"/>
          </w:tblCellMar>
        </w:tblPrEx>
        <w:trPr>
          <w:trHeight w:val="1050" w:hRule="atLeast"/>
          <w:jc w:val="center"/>
        </w:trPr>
        <w:tc>
          <w:tcPr>
            <w:tcW w:w="0" w:type="auto"/>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满意度指标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群众满意度</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100%</w:t>
            </w:r>
          </w:p>
        </w:tc>
      </w:tr>
    </w:tbl>
    <w:p>
      <w:pPr>
        <w:numPr>
          <w:ilvl w:val="0"/>
          <w:numId w:val="5"/>
        </w:numPr>
        <w:spacing w:line="600" w:lineRule="exact"/>
        <w:ind w:firstLine="640" w:firstLineChars="200"/>
        <w:rPr>
          <w:rFonts w:eastAsia="仿宋"/>
          <w:color w:val="000000"/>
          <w:kern w:val="0"/>
          <w:sz w:val="32"/>
          <w:szCs w:val="32"/>
        </w:rPr>
      </w:pPr>
      <w:r>
        <w:rPr>
          <w:rFonts w:eastAsia="仿宋"/>
          <w:color w:val="000000"/>
          <w:kern w:val="0"/>
          <w:sz w:val="32"/>
          <w:szCs w:val="32"/>
        </w:rPr>
        <w:t>“水利政策法规专项经费”项目绩效目标完成情况综述。项目全年预算数12.6万元，预算调整至其他项目6.52万元，执行数为6.08万元，完成预算的100%。通过项目实施，提高了职工法律意识和单位管理水平，加快</w:t>
      </w:r>
      <w:r>
        <w:rPr>
          <w:rFonts w:hint="eastAsia" w:eastAsia="仿宋"/>
          <w:color w:val="000000"/>
          <w:kern w:val="0"/>
          <w:sz w:val="32"/>
          <w:szCs w:val="32"/>
        </w:rPr>
        <w:t>了</w:t>
      </w:r>
      <w:r>
        <w:rPr>
          <w:rFonts w:eastAsia="仿宋"/>
          <w:color w:val="000000"/>
          <w:kern w:val="0"/>
          <w:sz w:val="32"/>
          <w:szCs w:val="32"/>
        </w:rPr>
        <w:t>农村水利法治的发展进程。</w:t>
      </w:r>
    </w:p>
    <w:tbl>
      <w:tblPr>
        <w:tblStyle w:val="13"/>
        <w:tblpPr w:leftFromText="180" w:rightFromText="180" w:vertAnchor="text" w:horzAnchor="page" w:tblpXSpec="center" w:tblpY="423"/>
        <w:tblOverlap w:val="never"/>
        <w:tblW w:w="0" w:type="auto"/>
        <w:jc w:val="center"/>
        <w:tblLayout w:type="autofit"/>
        <w:tblCellMar>
          <w:top w:w="0" w:type="dxa"/>
          <w:left w:w="0" w:type="dxa"/>
          <w:bottom w:w="0" w:type="dxa"/>
          <w:right w:w="0" w:type="dxa"/>
        </w:tblCellMar>
      </w:tblPr>
      <w:tblGrid>
        <w:gridCol w:w="783"/>
        <w:gridCol w:w="1197"/>
        <w:gridCol w:w="1036"/>
        <w:gridCol w:w="2834"/>
        <w:gridCol w:w="1191"/>
        <w:gridCol w:w="1295"/>
      </w:tblGrid>
      <w:tr>
        <w:tblPrEx>
          <w:tblCellMar>
            <w:top w:w="0" w:type="dxa"/>
            <w:left w:w="0" w:type="dxa"/>
            <w:bottom w:w="0" w:type="dxa"/>
            <w:right w:w="0" w:type="dxa"/>
          </w:tblCellMar>
        </w:tblPrEx>
        <w:trPr>
          <w:trHeight w:val="1034" w:hRule="atLeast"/>
          <w:jc w:val="center"/>
        </w:trPr>
        <w:tc>
          <w:tcPr>
            <w:tcW w:w="0" w:type="auto"/>
            <w:gridSpan w:val="6"/>
            <w:tcBorders>
              <w:top w:val="nil"/>
              <w:left w:val="nil"/>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sz w:val="36"/>
                <w:szCs w:val="36"/>
              </w:rPr>
            </w:pPr>
            <w:r>
              <w:rPr>
                <w:rFonts w:hint="eastAsia" w:ascii="宋体" w:hAnsi="宋体" w:cs="宋体"/>
                <w:b/>
                <w:bCs/>
                <w:kern w:val="0"/>
                <w:sz w:val="36"/>
                <w:szCs w:val="36"/>
                <w:lang w:bidi="ar"/>
              </w:rPr>
              <w:t>项目绩效目标完成情况表</w:t>
            </w:r>
            <w:r>
              <w:rPr>
                <w:rFonts w:hint="eastAsia" w:ascii="宋体" w:hAnsi="宋体" w:cs="宋体"/>
                <w:b/>
                <w:bCs/>
                <w:kern w:val="0"/>
                <w:sz w:val="36"/>
                <w:szCs w:val="36"/>
                <w:lang w:bidi="ar"/>
              </w:rPr>
              <w:br w:type="textWrapping"/>
            </w:r>
            <w:r>
              <w:rPr>
                <w:rFonts w:hint="eastAsia" w:ascii="宋体" w:hAnsi="宋体" w:cs="宋体"/>
                <w:kern w:val="0"/>
                <w:sz w:val="36"/>
                <w:szCs w:val="36"/>
                <w:lang w:bidi="ar"/>
              </w:rPr>
              <w:t>(2020年度)</w:t>
            </w:r>
          </w:p>
        </w:tc>
      </w:tr>
      <w:tr>
        <w:tblPrEx>
          <w:tblCellMar>
            <w:top w:w="0" w:type="dxa"/>
            <w:left w:w="0" w:type="dxa"/>
            <w:bottom w:w="0" w:type="dxa"/>
            <w:right w:w="0" w:type="dxa"/>
          </w:tblCellMar>
        </w:tblPrEx>
        <w:trPr>
          <w:trHeight w:val="276" w:hRule="atLeast"/>
          <w:jc w:val="center"/>
        </w:trPr>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项目名称</w:t>
            </w: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水利政策法规专项经费</w:t>
            </w:r>
          </w:p>
        </w:tc>
      </w:tr>
      <w:tr>
        <w:tblPrEx>
          <w:tblCellMar>
            <w:top w:w="0" w:type="dxa"/>
            <w:left w:w="0" w:type="dxa"/>
            <w:bottom w:w="0" w:type="dxa"/>
            <w:right w:w="0" w:type="dxa"/>
          </w:tblCellMar>
        </w:tblPrEx>
        <w:trPr>
          <w:trHeight w:val="276" w:hRule="atLeast"/>
          <w:jc w:val="center"/>
        </w:trPr>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预算单位</w:t>
            </w: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四川省农田水利局</w:t>
            </w:r>
          </w:p>
        </w:tc>
      </w:tr>
      <w:tr>
        <w:tblPrEx>
          <w:tblCellMar>
            <w:top w:w="0" w:type="dxa"/>
            <w:left w:w="0" w:type="dxa"/>
            <w:bottom w:w="0" w:type="dxa"/>
            <w:right w:w="0" w:type="dxa"/>
          </w:tblCellMar>
        </w:tblPrEx>
        <w:trPr>
          <w:trHeight w:val="276"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预算执行情况(万元)</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预算数:</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12.6</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执行数:</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6.08</w:t>
            </w:r>
          </w:p>
        </w:tc>
      </w:tr>
      <w:tr>
        <w:tblPrEx>
          <w:tblCellMar>
            <w:top w:w="0" w:type="dxa"/>
            <w:left w:w="0" w:type="dxa"/>
            <w:bottom w:w="0" w:type="dxa"/>
            <w:right w:w="0" w:type="dxa"/>
          </w:tblCellMar>
        </w:tblPrEx>
        <w:trPr>
          <w:trHeight w:val="27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其中-财政拨款:</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12.6</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其中-财政拨款:</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6.08</w:t>
            </w:r>
          </w:p>
        </w:tc>
      </w:tr>
      <w:tr>
        <w:tblPrEx>
          <w:tblCellMar>
            <w:top w:w="0" w:type="dxa"/>
            <w:left w:w="0" w:type="dxa"/>
            <w:bottom w:w="0" w:type="dxa"/>
            <w:right w:w="0" w:type="dxa"/>
          </w:tblCellMar>
        </w:tblPrEx>
        <w:trPr>
          <w:trHeight w:val="151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其它资金:</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其它资金:</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r>
      <w:tr>
        <w:tblPrEx>
          <w:tblCellMar>
            <w:top w:w="0" w:type="dxa"/>
            <w:left w:w="0" w:type="dxa"/>
            <w:bottom w:w="0" w:type="dxa"/>
            <w:right w:w="0" w:type="dxa"/>
          </w:tblCellMar>
        </w:tblPrEx>
        <w:trPr>
          <w:trHeight w:val="276"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年度目标完成情况</w:t>
            </w: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预期目标</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实际完成目标</w:t>
            </w:r>
          </w:p>
        </w:tc>
      </w:tr>
      <w:tr>
        <w:tblPrEx>
          <w:tblCellMar>
            <w:top w:w="0" w:type="dxa"/>
            <w:left w:w="0" w:type="dxa"/>
            <w:bottom w:w="0" w:type="dxa"/>
            <w:right w:w="0" w:type="dxa"/>
          </w:tblCellMar>
        </w:tblPrEx>
        <w:trPr>
          <w:trHeight w:val="115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根据水利厅工作安排，结合我省农田水利工作实际，通过法律服务咨询及委托服务，保障农田水利有关实施办法顺利出台，使水利工作有法可依、有据可查，加快水利法治的发展进程。</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提升职工法律意识，加快水利法治的发展进程</w:t>
            </w:r>
          </w:p>
        </w:tc>
      </w:tr>
      <w:tr>
        <w:tblPrEx>
          <w:tblCellMar>
            <w:top w:w="0" w:type="dxa"/>
            <w:left w:w="0" w:type="dxa"/>
            <w:bottom w:w="0" w:type="dxa"/>
            <w:right w:w="0" w:type="dxa"/>
          </w:tblCellMar>
        </w:tblPrEx>
        <w:trPr>
          <w:trHeight w:val="1042" w:hRule="atLeast"/>
          <w:jc w:val="center"/>
        </w:trPr>
        <w:tc>
          <w:tcPr>
            <w:tcW w:w="0" w:type="auto"/>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绩效指标完成情况</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一级指标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二级指标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三级指标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预期指标值(包含数字及文字描述)</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实际完成指标值(包含数字及文字描述)</w:t>
            </w:r>
          </w:p>
        </w:tc>
      </w:tr>
      <w:tr>
        <w:tblPrEx>
          <w:tblCellMar>
            <w:top w:w="0" w:type="dxa"/>
            <w:left w:w="0" w:type="dxa"/>
            <w:bottom w:w="0" w:type="dxa"/>
            <w:right w:w="0" w:type="dxa"/>
          </w:tblCellMar>
        </w:tblPrEx>
        <w:trPr>
          <w:trHeight w:val="953" w:hRule="atLeast"/>
          <w:jc w:val="center"/>
        </w:trPr>
        <w:tc>
          <w:tcPr>
            <w:tcW w:w="0" w:type="auto"/>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项目完成指标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数量指标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购买行业相关法律咨询及委托服务</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≥1次</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2次</w:t>
            </w:r>
          </w:p>
        </w:tc>
      </w:tr>
      <w:tr>
        <w:tblPrEx>
          <w:tblCellMar>
            <w:top w:w="0" w:type="dxa"/>
            <w:left w:w="0" w:type="dxa"/>
            <w:bottom w:w="0" w:type="dxa"/>
            <w:right w:w="0" w:type="dxa"/>
          </w:tblCellMar>
        </w:tblPrEx>
        <w:trPr>
          <w:trHeight w:val="1297" w:hRule="atLeast"/>
          <w:jc w:val="center"/>
        </w:trPr>
        <w:tc>
          <w:tcPr>
            <w:tcW w:w="0" w:type="auto"/>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项目完成指标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质量指标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完成工作报告</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≥1份</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1份</w:t>
            </w:r>
          </w:p>
        </w:tc>
      </w:tr>
      <w:tr>
        <w:tblPrEx>
          <w:tblCellMar>
            <w:top w:w="0" w:type="dxa"/>
            <w:left w:w="0" w:type="dxa"/>
            <w:bottom w:w="0" w:type="dxa"/>
            <w:right w:w="0" w:type="dxa"/>
          </w:tblCellMar>
        </w:tblPrEx>
        <w:trPr>
          <w:trHeight w:val="1042" w:hRule="atLeast"/>
          <w:jc w:val="center"/>
        </w:trPr>
        <w:tc>
          <w:tcPr>
            <w:tcW w:w="0" w:type="auto"/>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项目完成指标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时效指标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完成时限</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按合同约定期限完成</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按期完成</w:t>
            </w:r>
          </w:p>
        </w:tc>
      </w:tr>
      <w:tr>
        <w:tblPrEx>
          <w:tblCellMar>
            <w:top w:w="0" w:type="dxa"/>
            <w:left w:w="0" w:type="dxa"/>
            <w:bottom w:w="0" w:type="dxa"/>
            <w:right w:w="0" w:type="dxa"/>
          </w:tblCellMar>
        </w:tblPrEx>
        <w:trPr>
          <w:trHeight w:val="1083" w:hRule="atLeast"/>
          <w:jc w:val="center"/>
        </w:trPr>
        <w:tc>
          <w:tcPr>
            <w:tcW w:w="0" w:type="auto"/>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效益指标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社会效益</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对农村水利法治的发展有促进作用</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促进</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促进</w:t>
            </w:r>
          </w:p>
        </w:tc>
      </w:tr>
      <w:tr>
        <w:tblPrEx>
          <w:tblCellMar>
            <w:top w:w="0" w:type="dxa"/>
            <w:left w:w="0" w:type="dxa"/>
            <w:bottom w:w="0" w:type="dxa"/>
            <w:right w:w="0" w:type="dxa"/>
          </w:tblCellMar>
        </w:tblPrEx>
        <w:trPr>
          <w:trHeight w:val="1042" w:hRule="atLeast"/>
          <w:jc w:val="center"/>
        </w:trPr>
        <w:tc>
          <w:tcPr>
            <w:tcW w:w="0" w:type="auto"/>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满意度指标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服务对象满意度</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100%</w:t>
            </w:r>
          </w:p>
        </w:tc>
      </w:tr>
    </w:tbl>
    <w:p>
      <w:pPr>
        <w:spacing w:line="600" w:lineRule="exact"/>
        <w:ind w:firstLine="640" w:firstLineChars="200"/>
        <w:rPr>
          <w:rFonts w:eastAsia="仿宋"/>
          <w:sz w:val="32"/>
          <w:szCs w:val="32"/>
        </w:rPr>
      </w:pPr>
      <w:r>
        <w:rPr>
          <w:rFonts w:eastAsia="仿宋"/>
          <w:sz w:val="32"/>
          <w:szCs w:val="32"/>
        </w:rPr>
        <w:t>（5）“</w:t>
      </w:r>
      <w:r>
        <w:rPr>
          <w:rFonts w:eastAsia="仿宋"/>
          <w:color w:val="000000"/>
          <w:kern w:val="0"/>
          <w:sz w:val="32"/>
          <w:szCs w:val="32"/>
        </w:rPr>
        <w:t>饮水安全、病险水库整治等农村水利重大项目管理费”项目</w:t>
      </w:r>
      <w:r>
        <w:rPr>
          <w:rFonts w:eastAsia="仿宋"/>
          <w:sz w:val="32"/>
          <w:szCs w:val="32"/>
        </w:rPr>
        <w:t>绩效目标完成情况综述。</w:t>
      </w:r>
      <w:r>
        <w:rPr>
          <w:rFonts w:eastAsia="仿宋"/>
          <w:color w:val="000000"/>
          <w:kern w:val="0"/>
          <w:sz w:val="32"/>
          <w:szCs w:val="32"/>
        </w:rPr>
        <w:t>项目全年预算数63万元，预算调整至其他项目10.94万元，执行数为52.06万元，完成预算的100%。</w:t>
      </w:r>
      <w:r>
        <w:rPr>
          <w:rFonts w:eastAsia="仿宋"/>
          <w:sz w:val="32"/>
          <w:szCs w:val="32"/>
        </w:rPr>
        <w:t>通过项目实施，提高</w:t>
      </w:r>
      <w:r>
        <w:rPr>
          <w:rFonts w:hint="eastAsia" w:eastAsia="仿宋"/>
          <w:sz w:val="32"/>
          <w:szCs w:val="32"/>
        </w:rPr>
        <w:t>了</w:t>
      </w:r>
      <w:r>
        <w:rPr>
          <w:rFonts w:eastAsia="仿宋"/>
          <w:sz w:val="32"/>
          <w:szCs w:val="32"/>
        </w:rPr>
        <w:t>农村水利工程运行管理能力。</w:t>
      </w:r>
    </w:p>
    <w:tbl>
      <w:tblPr>
        <w:tblStyle w:val="13"/>
        <w:tblpPr w:leftFromText="180" w:rightFromText="180" w:vertAnchor="text" w:horzAnchor="page" w:tblpXSpec="center" w:tblpY="423"/>
        <w:tblOverlap w:val="never"/>
        <w:tblW w:w="0" w:type="auto"/>
        <w:jc w:val="center"/>
        <w:tblLayout w:type="autofit"/>
        <w:tblCellMar>
          <w:top w:w="0" w:type="dxa"/>
          <w:left w:w="0" w:type="dxa"/>
          <w:bottom w:w="0" w:type="dxa"/>
          <w:right w:w="0" w:type="dxa"/>
        </w:tblCellMar>
      </w:tblPr>
      <w:tblGrid>
        <w:gridCol w:w="628"/>
        <w:gridCol w:w="942"/>
        <w:gridCol w:w="826"/>
        <w:gridCol w:w="3230"/>
        <w:gridCol w:w="1249"/>
        <w:gridCol w:w="1461"/>
      </w:tblGrid>
      <w:tr>
        <w:tblPrEx>
          <w:tblCellMar>
            <w:top w:w="0" w:type="dxa"/>
            <w:left w:w="0" w:type="dxa"/>
            <w:bottom w:w="0" w:type="dxa"/>
            <w:right w:w="0" w:type="dxa"/>
          </w:tblCellMar>
        </w:tblPrEx>
        <w:trPr>
          <w:trHeight w:val="1034" w:hRule="atLeast"/>
          <w:jc w:val="center"/>
        </w:trPr>
        <w:tc>
          <w:tcPr>
            <w:tcW w:w="0" w:type="auto"/>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sz w:val="36"/>
                <w:szCs w:val="36"/>
              </w:rPr>
            </w:pPr>
            <w:r>
              <w:rPr>
                <w:rFonts w:hint="eastAsia" w:ascii="宋体" w:hAnsi="宋体" w:cs="宋体"/>
                <w:b/>
                <w:bCs/>
                <w:kern w:val="0"/>
                <w:sz w:val="36"/>
                <w:szCs w:val="36"/>
                <w:lang w:bidi="ar"/>
              </w:rPr>
              <w:t>项目绩效目标完成情况表</w:t>
            </w:r>
            <w:r>
              <w:rPr>
                <w:rFonts w:hint="eastAsia" w:ascii="宋体" w:hAnsi="宋体" w:cs="宋体"/>
                <w:b/>
                <w:bCs/>
                <w:kern w:val="0"/>
                <w:sz w:val="36"/>
                <w:szCs w:val="36"/>
                <w:lang w:bidi="ar"/>
              </w:rPr>
              <w:br w:type="textWrapping"/>
            </w:r>
            <w:r>
              <w:rPr>
                <w:rFonts w:hint="eastAsia" w:ascii="宋体" w:hAnsi="宋体" w:cs="宋体"/>
                <w:kern w:val="0"/>
                <w:sz w:val="36"/>
                <w:szCs w:val="36"/>
                <w:lang w:bidi="ar"/>
              </w:rPr>
              <w:t>(2020年度)</w:t>
            </w:r>
          </w:p>
        </w:tc>
      </w:tr>
      <w:tr>
        <w:tblPrEx>
          <w:tblCellMar>
            <w:top w:w="0" w:type="dxa"/>
            <w:left w:w="0" w:type="dxa"/>
            <w:bottom w:w="0" w:type="dxa"/>
            <w:right w:w="0" w:type="dxa"/>
          </w:tblCellMar>
        </w:tblPrEx>
        <w:trPr>
          <w:trHeight w:val="276" w:hRule="atLeast"/>
          <w:jc w:val="center"/>
        </w:trPr>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项目名称</w:t>
            </w: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饮水安全、病险水库整治等农村水利重大项目管理费</w:t>
            </w:r>
          </w:p>
        </w:tc>
      </w:tr>
      <w:tr>
        <w:tblPrEx>
          <w:tblCellMar>
            <w:top w:w="0" w:type="dxa"/>
            <w:left w:w="0" w:type="dxa"/>
            <w:bottom w:w="0" w:type="dxa"/>
            <w:right w:w="0" w:type="dxa"/>
          </w:tblCellMar>
        </w:tblPrEx>
        <w:trPr>
          <w:trHeight w:val="276" w:hRule="atLeast"/>
          <w:jc w:val="center"/>
        </w:trPr>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预算单位</w:t>
            </w: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四川省农田水利局</w:t>
            </w:r>
          </w:p>
        </w:tc>
      </w:tr>
      <w:tr>
        <w:tblPrEx>
          <w:tblCellMar>
            <w:top w:w="0" w:type="dxa"/>
            <w:left w:w="0" w:type="dxa"/>
            <w:bottom w:w="0" w:type="dxa"/>
            <w:right w:w="0" w:type="dxa"/>
          </w:tblCellMar>
        </w:tblPrEx>
        <w:trPr>
          <w:trHeight w:val="276"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预算执行情况(万元)</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预算数:</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63</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执行数:</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52.06</w:t>
            </w:r>
          </w:p>
        </w:tc>
      </w:tr>
      <w:tr>
        <w:tblPrEx>
          <w:tblCellMar>
            <w:top w:w="0" w:type="dxa"/>
            <w:left w:w="0" w:type="dxa"/>
            <w:bottom w:w="0" w:type="dxa"/>
            <w:right w:w="0" w:type="dxa"/>
          </w:tblCellMar>
        </w:tblPrEx>
        <w:trPr>
          <w:trHeight w:val="27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其中-财政拨款:</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63</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其中-财政拨款:</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52.06</w:t>
            </w:r>
          </w:p>
        </w:tc>
      </w:tr>
      <w:tr>
        <w:tblPrEx>
          <w:tblCellMar>
            <w:top w:w="0" w:type="dxa"/>
            <w:left w:w="0" w:type="dxa"/>
            <w:bottom w:w="0" w:type="dxa"/>
            <w:right w:w="0" w:type="dxa"/>
          </w:tblCellMar>
        </w:tblPrEx>
        <w:trPr>
          <w:trHeight w:val="151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其它资金:</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其它资金:</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r>
      <w:tr>
        <w:tblPrEx>
          <w:tblCellMar>
            <w:top w:w="0" w:type="dxa"/>
            <w:left w:w="0" w:type="dxa"/>
            <w:bottom w:w="0" w:type="dxa"/>
            <w:right w:w="0" w:type="dxa"/>
          </w:tblCellMar>
        </w:tblPrEx>
        <w:trPr>
          <w:trHeight w:val="276"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年度目标完成情况</w:t>
            </w: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预期目标</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实际完成目标</w:t>
            </w:r>
          </w:p>
        </w:tc>
      </w:tr>
      <w:tr>
        <w:tblPrEx>
          <w:tblCellMar>
            <w:top w:w="0" w:type="dxa"/>
            <w:left w:w="0" w:type="dxa"/>
            <w:bottom w:w="0" w:type="dxa"/>
            <w:right w:w="0" w:type="dxa"/>
          </w:tblCellMar>
        </w:tblPrEx>
        <w:trPr>
          <w:trHeight w:val="115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保障我局2020年度农村饮水安全、水库除险加固及防汛安全管理工作、防旱抗旱、基层服务机构建设、农村小型水利工程体制改革工作、灌区维修养护、水库划界确权等工作的开展，确保相关项目的调研、方案编制、技术咨询等工作有效开展，完成资料汇编、工作手册等资料印制发放工作。</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聘用职工6人，完成农村水利网升级改造工作，完成农村水利项目咨询及委托服务工作，提高农村水利重大项目管理能力。</w:t>
            </w:r>
          </w:p>
        </w:tc>
      </w:tr>
      <w:tr>
        <w:tblPrEx>
          <w:tblCellMar>
            <w:top w:w="0" w:type="dxa"/>
            <w:left w:w="0" w:type="dxa"/>
            <w:bottom w:w="0" w:type="dxa"/>
            <w:right w:w="0" w:type="dxa"/>
          </w:tblCellMar>
        </w:tblPrEx>
        <w:trPr>
          <w:trHeight w:val="1042" w:hRule="atLeast"/>
          <w:jc w:val="center"/>
        </w:trPr>
        <w:tc>
          <w:tcPr>
            <w:tcW w:w="0" w:type="auto"/>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绩效指标完成情况</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一级指标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二级指标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三级指标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预期指标值(包含数字及文字描述)</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实际完成指标值(包含数字及文字描述)</w:t>
            </w:r>
          </w:p>
        </w:tc>
      </w:tr>
      <w:tr>
        <w:tblPrEx>
          <w:tblCellMar>
            <w:top w:w="0" w:type="dxa"/>
            <w:left w:w="0" w:type="dxa"/>
            <w:bottom w:w="0" w:type="dxa"/>
            <w:right w:w="0" w:type="dxa"/>
          </w:tblCellMar>
        </w:tblPrEx>
        <w:trPr>
          <w:trHeight w:val="953" w:hRule="atLeast"/>
          <w:jc w:val="center"/>
        </w:trPr>
        <w:tc>
          <w:tcPr>
            <w:tcW w:w="0" w:type="auto"/>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项目完成指标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数量指标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保障农村水利工作需聘用人员，保证其工资及福利待遇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≥6人</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6人</w:t>
            </w:r>
          </w:p>
        </w:tc>
      </w:tr>
      <w:tr>
        <w:tblPrEx>
          <w:tblCellMar>
            <w:top w:w="0" w:type="dxa"/>
            <w:left w:w="0" w:type="dxa"/>
            <w:bottom w:w="0" w:type="dxa"/>
            <w:right w:w="0" w:type="dxa"/>
          </w:tblCellMar>
        </w:tblPrEx>
        <w:trPr>
          <w:trHeight w:val="1297" w:hRule="atLeast"/>
          <w:jc w:val="center"/>
        </w:trPr>
        <w:tc>
          <w:tcPr>
            <w:tcW w:w="0" w:type="auto"/>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项目完成指标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数量指标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完成农村水利网升级改造</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1个</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1个</w:t>
            </w:r>
          </w:p>
        </w:tc>
      </w:tr>
      <w:tr>
        <w:tblPrEx>
          <w:tblCellMar>
            <w:top w:w="0" w:type="dxa"/>
            <w:left w:w="0" w:type="dxa"/>
            <w:bottom w:w="0" w:type="dxa"/>
            <w:right w:w="0" w:type="dxa"/>
          </w:tblCellMar>
        </w:tblPrEx>
        <w:trPr>
          <w:trHeight w:val="1042" w:hRule="atLeast"/>
          <w:jc w:val="center"/>
        </w:trPr>
        <w:tc>
          <w:tcPr>
            <w:tcW w:w="0" w:type="auto"/>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项目完成指标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数量指标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农村水利咨询及委托业务项目</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≥2个</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2个</w:t>
            </w:r>
          </w:p>
        </w:tc>
      </w:tr>
      <w:tr>
        <w:tblPrEx>
          <w:tblCellMar>
            <w:top w:w="0" w:type="dxa"/>
            <w:left w:w="0" w:type="dxa"/>
            <w:bottom w:w="0" w:type="dxa"/>
            <w:right w:w="0" w:type="dxa"/>
          </w:tblCellMar>
        </w:tblPrEx>
        <w:trPr>
          <w:trHeight w:val="1042" w:hRule="atLeast"/>
          <w:jc w:val="center"/>
        </w:trPr>
        <w:tc>
          <w:tcPr>
            <w:tcW w:w="0" w:type="auto"/>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效益指标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社会效益</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保证单位各项工作正常运行</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100%</w:t>
            </w:r>
          </w:p>
        </w:tc>
      </w:tr>
      <w:tr>
        <w:tblPrEx>
          <w:tblCellMar>
            <w:top w:w="0" w:type="dxa"/>
            <w:left w:w="0" w:type="dxa"/>
            <w:bottom w:w="0" w:type="dxa"/>
            <w:right w:w="0" w:type="dxa"/>
          </w:tblCellMar>
        </w:tblPrEx>
        <w:trPr>
          <w:trHeight w:val="1050" w:hRule="atLeast"/>
          <w:jc w:val="center"/>
        </w:trPr>
        <w:tc>
          <w:tcPr>
            <w:tcW w:w="0" w:type="auto"/>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满意度指标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职工满意度</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100%</w:t>
            </w:r>
          </w:p>
        </w:tc>
      </w:tr>
    </w:tbl>
    <w:p>
      <w:pPr>
        <w:spacing w:line="580" w:lineRule="exact"/>
        <w:ind w:left="630"/>
        <w:rPr>
          <w:rFonts w:eastAsia="仿宋_GB2312"/>
          <w:sz w:val="32"/>
          <w:szCs w:val="32"/>
        </w:rPr>
      </w:pPr>
      <w:r>
        <w:rPr>
          <w:rFonts w:eastAsia="楷体_GB2312"/>
          <w:sz w:val="32"/>
          <w:szCs w:val="32"/>
        </w:rPr>
        <w:t>2.单位绩效评价结果。</w:t>
      </w:r>
    </w:p>
    <w:p>
      <w:pPr>
        <w:spacing w:line="600" w:lineRule="exact"/>
        <w:ind w:firstLine="640" w:firstLineChars="200"/>
        <w:rPr>
          <w:rFonts w:eastAsia="仿宋"/>
          <w:sz w:val="32"/>
          <w:szCs w:val="32"/>
        </w:rPr>
      </w:pPr>
      <w:r>
        <w:rPr>
          <w:rFonts w:eastAsia="仿宋"/>
          <w:sz w:val="32"/>
          <w:szCs w:val="32"/>
        </w:rPr>
        <w:t>本单位自行组织对2020年5个部门预算项目开展了绩效评价，《2020年办公设施改造工程项目支出绩效自评报告》、《2020年水利宣传及采编等经费项目支出绩效自评报告》、《2020年防汛报讯费项目支出绩效自评报告》</w:t>
      </w:r>
      <w:r>
        <w:rPr>
          <w:rFonts w:hint="eastAsia" w:eastAsia="仿宋"/>
          <w:sz w:val="32"/>
          <w:szCs w:val="32"/>
        </w:rPr>
        <w:t>、</w:t>
      </w:r>
      <w:r>
        <w:rPr>
          <w:rFonts w:eastAsia="仿宋"/>
          <w:sz w:val="32"/>
          <w:szCs w:val="32"/>
        </w:rPr>
        <w:t>《2020年水利政策法规专项经费项目支出绩效自评报告》、《2020年饮水安全、病险水库整治等农村水利重大项目管理费项目支出绩效自评报告》见附件（第四部分）。</w:t>
      </w:r>
    </w:p>
    <w:p>
      <w:pPr>
        <w:widowControl/>
        <w:jc w:val="left"/>
        <w:rPr>
          <w:rFonts w:ascii="仿宋_GB2312" w:eastAsia="仿宋_GB2312"/>
          <w:b/>
          <w:sz w:val="32"/>
          <w:szCs w:val="32"/>
        </w:rPr>
      </w:pPr>
    </w:p>
    <w:p>
      <w:pPr>
        <w:pStyle w:val="7"/>
        <w:rPr>
          <w:rFonts w:ascii="仿宋_GB2312" w:eastAsia="仿宋_GB2312"/>
          <w:b/>
          <w:sz w:val="32"/>
          <w:szCs w:val="32"/>
        </w:rPr>
      </w:pPr>
    </w:p>
    <w:p>
      <w:pPr>
        <w:pStyle w:val="7"/>
        <w:rPr>
          <w:rFonts w:ascii="仿宋_GB2312" w:eastAsia="仿宋_GB2312"/>
          <w:b/>
          <w:sz w:val="32"/>
          <w:szCs w:val="32"/>
        </w:rPr>
      </w:pPr>
    </w:p>
    <w:p>
      <w:pPr>
        <w:pStyle w:val="7"/>
        <w:rPr>
          <w:rFonts w:ascii="仿宋_GB2312" w:eastAsia="仿宋_GB2312"/>
          <w:b/>
          <w:sz w:val="32"/>
          <w:szCs w:val="32"/>
        </w:rPr>
      </w:pPr>
    </w:p>
    <w:p>
      <w:pPr>
        <w:pStyle w:val="7"/>
        <w:rPr>
          <w:rFonts w:ascii="仿宋_GB2312" w:eastAsia="仿宋_GB2312"/>
          <w:b/>
          <w:sz w:val="32"/>
          <w:szCs w:val="32"/>
        </w:rPr>
      </w:pPr>
    </w:p>
    <w:p>
      <w:pPr>
        <w:pStyle w:val="7"/>
        <w:rPr>
          <w:rFonts w:ascii="仿宋_GB2312" w:eastAsia="仿宋_GB2312"/>
          <w:b/>
          <w:sz w:val="32"/>
          <w:szCs w:val="32"/>
        </w:rPr>
      </w:pPr>
    </w:p>
    <w:p>
      <w:pPr>
        <w:pStyle w:val="7"/>
        <w:rPr>
          <w:rFonts w:ascii="仿宋_GB2312" w:eastAsia="仿宋_GB2312"/>
          <w:b/>
          <w:sz w:val="32"/>
          <w:szCs w:val="32"/>
        </w:rPr>
      </w:pPr>
    </w:p>
    <w:p>
      <w:pPr>
        <w:pStyle w:val="7"/>
        <w:rPr>
          <w:rFonts w:ascii="仿宋_GB2312" w:eastAsia="仿宋_GB2312"/>
          <w:b/>
          <w:sz w:val="32"/>
          <w:szCs w:val="32"/>
        </w:rPr>
      </w:pPr>
    </w:p>
    <w:p>
      <w:pPr>
        <w:pStyle w:val="7"/>
        <w:rPr>
          <w:rFonts w:ascii="仿宋_GB2312" w:eastAsia="仿宋_GB2312"/>
          <w:b/>
          <w:sz w:val="32"/>
          <w:szCs w:val="32"/>
        </w:rPr>
        <w:sectPr>
          <w:footerReference r:id="rId7" w:type="first"/>
          <w:footerReference r:id="rId6" w:type="default"/>
          <w:pgSz w:w="11906" w:h="16838"/>
          <w:pgMar w:top="1440" w:right="1800" w:bottom="1440" w:left="1800" w:header="851" w:footer="992" w:gutter="0"/>
          <w:pgNumType w:start="4"/>
          <w:cols w:space="425" w:num="1"/>
          <w:titlePg/>
          <w:docGrid w:type="lines" w:linePitch="312" w:charSpace="0"/>
        </w:sectPr>
      </w:pPr>
    </w:p>
    <w:p>
      <w:pPr>
        <w:pStyle w:val="3"/>
        <w:numPr>
          <w:ilvl w:val="0"/>
          <w:numId w:val="6"/>
        </w:numPr>
        <w:jc w:val="center"/>
      </w:pPr>
      <w:bookmarkStart w:id="66" w:name="_Toc15377225"/>
      <w:bookmarkStart w:id="67" w:name="_Toc15396613"/>
      <w:bookmarkStart w:id="68" w:name="_Toc16591"/>
      <w:r>
        <w:rPr>
          <w:rFonts w:hint="eastAsia"/>
        </w:rPr>
        <w:t>名词解释</w:t>
      </w:r>
      <w:bookmarkEnd w:id="66"/>
      <w:bookmarkEnd w:id="67"/>
      <w:bookmarkEnd w:id="68"/>
    </w:p>
    <w:p>
      <w:pPr>
        <w:pStyle w:val="28"/>
        <w:spacing w:line="600" w:lineRule="exact"/>
        <w:ind w:firstLine="640" w:firstLineChars="200"/>
        <w:rPr>
          <w:rFonts w:ascii="Times New Roman" w:hAnsi="Times New Roman" w:cs="Times New Roman"/>
          <w:sz w:val="32"/>
          <w:szCs w:val="32"/>
        </w:rPr>
      </w:pPr>
      <w:r>
        <w:rPr>
          <w:rFonts w:ascii="Times New Roman" w:hAnsi="Times New Roman" w:cs="Times New Roman"/>
          <w:sz w:val="32"/>
          <w:szCs w:val="32"/>
        </w:rPr>
        <w:t>1.财政拨款收入：指单位从同级财政部门取得的财政预算资金。</w:t>
      </w:r>
    </w:p>
    <w:p>
      <w:pPr>
        <w:spacing w:line="600" w:lineRule="exact"/>
        <w:ind w:firstLine="640" w:firstLineChars="200"/>
        <w:rPr>
          <w:rFonts w:eastAsia="仿宋"/>
          <w:color w:val="000000"/>
          <w:sz w:val="32"/>
          <w:szCs w:val="32"/>
        </w:rPr>
      </w:pPr>
      <w:r>
        <w:rPr>
          <w:rFonts w:eastAsia="仿宋"/>
          <w:color w:val="000000"/>
          <w:sz w:val="32"/>
          <w:szCs w:val="32"/>
        </w:rPr>
        <w:t>2.一般公共服务支出（类）</w:t>
      </w:r>
    </w:p>
    <w:p>
      <w:pPr>
        <w:spacing w:line="600" w:lineRule="exact"/>
        <w:ind w:firstLine="640" w:firstLineChars="200"/>
        <w:rPr>
          <w:rFonts w:eastAsia="仿宋"/>
          <w:color w:val="000000"/>
          <w:sz w:val="32"/>
          <w:szCs w:val="32"/>
        </w:rPr>
      </w:pPr>
      <w:r>
        <w:rPr>
          <w:rFonts w:eastAsia="仿宋"/>
          <w:color w:val="000000"/>
          <w:sz w:val="32"/>
          <w:szCs w:val="32"/>
        </w:rPr>
        <w:t>组织事务（款）一般行政管理事务（项）：反映行政</w:t>
      </w:r>
      <w:r>
        <w:rPr>
          <w:rFonts w:hint="eastAsia" w:eastAsia="仿宋"/>
          <w:color w:val="000000"/>
          <w:sz w:val="32"/>
          <w:szCs w:val="32"/>
        </w:rPr>
        <w:t>单位（</w:t>
      </w:r>
      <w:r>
        <w:rPr>
          <w:rFonts w:eastAsia="仿宋"/>
          <w:color w:val="000000"/>
          <w:sz w:val="32"/>
          <w:szCs w:val="32"/>
        </w:rPr>
        <w:t>包括实行公务员管理的事业单位）未单独设置项级科目项目支出。</w:t>
      </w:r>
    </w:p>
    <w:p>
      <w:pPr>
        <w:spacing w:line="600" w:lineRule="exact"/>
        <w:ind w:firstLine="640" w:firstLineChars="200"/>
        <w:rPr>
          <w:rFonts w:eastAsia="仿宋"/>
          <w:color w:val="000000"/>
          <w:sz w:val="32"/>
          <w:szCs w:val="32"/>
        </w:rPr>
      </w:pPr>
      <w:r>
        <w:rPr>
          <w:rFonts w:eastAsia="仿宋"/>
          <w:color w:val="000000"/>
          <w:sz w:val="32"/>
          <w:szCs w:val="32"/>
        </w:rPr>
        <w:t>3.教育支出（类）</w:t>
      </w:r>
    </w:p>
    <w:p>
      <w:pPr>
        <w:spacing w:line="600" w:lineRule="exact"/>
        <w:ind w:firstLine="640" w:firstLineChars="200"/>
        <w:rPr>
          <w:rFonts w:eastAsia="仿宋"/>
          <w:color w:val="000000"/>
          <w:sz w:val="32"/>
          <w:szCs w:val="32"/>
        </w:rPr>
      </w:pPr>
      <w:r>
        <w:rPr>
          <w:rFonts w:eastAsia="仿宋"/>
          <w:color w:val="000000"/>
          <w:sz w:val="32"/>
          <w:szCs w:val="32"/>
        </w:rPr>
        <w:t>进修及培训（款）培训支出（项）：反映各部门安排的用于培训的支出。</w:t>
      </w:r>
    </w:p>
    <w:p>
      <w:pPr>
        <w:spacing w:line="600" w:lineRule="exact"/>
        <w:ind w:firstLine="640" w:firstLineChars="200"/>
        <w:rPr>
          <w:rFonts w:eastAsia="仿宋"/>
          <w:color w:val="000000"/>
          <w:sz w:val="32"/>
          <w:szCs w:val="32"/>
        </w:rPr>
      </w:pPr>
      <w:r>
        <w:rPr>
          <w:rFonts w:eastAsia="仿宋"/>
          <w:color w:val="000000"/>
          <w:sz w:val="32"/>
          <w:szCs w:val="32"/>
        </w:rPr>
        <w:t>4.社会保障和就业支出（类）</w:t>
      </w:r>
    </w:p>
    <w:p>
      <w:pPr>
        <w:spacing w:line="600" w:lineRule="exact"/>
        <w:ind w:firstLine="640" w:firstLineChars="200"/>
        <w:rPr>
          <w:rFonts w:eastAsia="仿宋"/>
          <w:color w:val="000000"/>
          <w:sz w:val="32"/>
          <w:szCs w:val="32"/>
        </w:rPr>
      </w:pPr>
      <w:r>
        <w:rPr>
          <w:rFonts w:eastAsia="仿宋"/>
          <w:color w:val="000000"/>
          <w:sz w:val="32"/>
          <w:szCs w:val="32"/>
        </w:rPr>
        <w:t>行政事业单位养老支出（款）行政单位离退休（项）：反映行政单位（包括实行公务员管理的事业单位）开支的离退休经费；</w:t>
      </w:r>
    </w:p>
    <w:p>
      <w:pPr>
        <w:spacing w:line="600" w:lineRule="exact"/>
        <w:ind w:firstLine="640" w:firstLineChars="200"/>
        <w:rPr>
          <w:rFonts w:eastAsia="仿宋"/>
          <w:color w:val="000000"/>
          <w:sz w:val="32"/>
          <w:szCs w:val="32"/>
        </w:rPr>
      </w:pPr>
      <w:r>
        <w:rPr>
          <w:rFonts w:eastAsia="仿宋"/>
          <w:color w:val="000000"/>
          <w:sz w:val="32"/>
          <w:szCs w:val="32"/>
        </w:rPr>
        <w:t>行政事业单位养老支出（款）事业单位离退休（项）：反映事业单位开支的离退休经费；</w:t>
      </w:r>
    </w:p>
    <w:p>
      <w:pPr>
        <w:spacing w:line="600" w:lineRule="exact"/>
        <w:ind w:firstLine="640" w:firstLineChars="200"/>
        <w:rPr>
          <w:rFonts w:eastAsia="仿宋"/>
          <w:color w:val="000000"/>
          <w:sz w:val="32"/>
          <w:szCs w:val="32"/>
        </w:rPr>
      </w:pPr>
      <w:r>
        <w:rPr>
          <w:rFonts w:eastAsia="仿宋"/>
          <w:color w:val="000000"/>
          <w:sz w:val="32"/>
          <w:szCs w:val="32"/>
        </w:rPr>
        <w:t>行政事业单位养老支出（款）机关事业单位基本养老保险缴费支出（项）：反映机关事业单位实施养老保险制度由单位缴纳的基本养老保险费支出；</w:t>
      </w:r>
    </w:p>
    <w:p>
      <w:pPr>
        <w:spacing w:line="600" w:lineRule="exact"/>
        <w:ind w:firstLine="640" w:firstLineChars="200"/>
        <w:rPr>
          <w:rFonts w:eastAsia="仿宋"/>
          <w:color w:val="000000"/>
          <w:sz w:val="32"/>
          <w:szCs w:val="32"/>
        </w:rPr>
      </w:pPr>
      <w:r>
        <w:rPr>
          <w:rFonts w:eastAsia="仿宋"/>
          <w:color w:val="000000"/>
          <w:sz w:val="32"/>
          <w:szCs w:val="32"/>
        </w:rPr>
        <w:t>行政事业单位养老支出（款）机关事业单位职业年金缴费支出（项）：反映机关事业单位实施养老保险制度由单位实际缴纳的职业年金支出；</w:t>
      </w:r>
    </w:p>
    <w:p>
      <w:pPr>
        <w:pStyle w:val="2"/>
        <w:spacing w:before="93" w:line="600" w:lineRule="exact"/>
        <w:ind w:firstLine="640"/>
        <w:rPr>
          <w:rFonts w:ascii="Times New Roman" w:eastAsia="仿宋"/>
          <w:color w:val="000000"/>
          <w:kern w:val="2"/>
          <w:sz w:val="32"/>
          <w:szCs w:val="32"/>
        </w:rPr>
      </w:pPr>
      <w:r>
        <w:rPr>
          <w:rFonts w:ascii="Times New Roman" w:eastAsia="仿宋"/>
          <w:color w:val="000000"/>
          <w:kern w:val="2"/>
          <w:sz w:val="32"/>
          <w:szCs w:val="32"/>
        </w:rPr>
        <w:t>抚恤（款）死亡抚恤（项）：反映按规定用于烈士和牺牲、病故人员家属的一次性和定期抚恤金以及丧葬补助费。</w:t>
      </w:r>
    </w:p>
    <w:p>
      <w:pPr>
        <w:pStyle w:val="2"/>
        <w:spacing w:before="93" w:line="600" w:lineRule="exact"/>
        <w:ind w:firstLine="640"/>
        <w:rPr>
          <w:rFonts w:ascii="Times New Roman" w:eastAsia="仿宋"/>
          <w:color w:val="000000"/>
          <w:sz w:val="32"/>
          <w:szCs w:val="32"/>
        </w:rPr>
      </w:pPr>
      <w:r>
        <w:rPr>
          <w:rFonts w:ascii="Times New Roman" w:eastAsia="仿宋"/>
          <w:color w:val="000000"/>
          <w:sz w:val="32"/>
          <w:szCs w:val="32"/>
        </w:rPr>
        <w:t>5.卫生健康支出（类）</w:t>
      </w:r>
    </w:p>
    <w:p>
      <w:pPr>
        <w:spacing w:line="600" w:lineRule="exact"/>
        <w:ind w:firstLine="640" w:firstLineChars="200"/>
        <w:rPr>
          <w:rFonts w:eastAsia="仿宋"/>
          <w:color w:val="000000"/>
          <w:sz w:val="32"/>
          <w:szCs w:val="32"/>
        </w:rPr>
      </w:pPr>
      <w:r>
        <w:rPr>
          <w:rFonts w:eastAsia="仿宋"/>
          <w:color w:val="000000"/>
          <w:sz w:val="32"/>
          <w:szCs w:val="32"/>
        </w:rPr>
        <w:t>行政事业单位医疗（款）行政单位医疗（项）：反映财政部门安排的行政单位（包括实行公务员管理的事业单位，下同）基本医疗保险缴费经费，未参加医疗保险的行政单位的公费医疗经费，按国家规定享受离休人员、共军老战士待遇人员的医疗经费</w:t>
      </w:r>
      <w:r>
        <w:rPr>
          <w:rFonts w:hint="eastAsia" w:eastAsia="仿宋"/>
          <w:color w:val="000000"/>
          <w:sz w:val="32"/>
          <w:szCs w:val="32"/>
        </w:rPr>
        <w:t>；</w:t>
      </w:r>
    </w:p>
    <w:p>
      <w:pPr>
        <w:pStyle w:val="2"/>
        <w:spacing w:before="93" w:line="600" w:lineRule="exact"/>
        <w:ind w:firstLine="640" w:firstLineChars="200"/>
        <w:rPr>
          <w:rFonts w:ascii="Times New Roman" w:eastAsia="仿宋"/>
        </w:rPr>
      </w:pPr>
      <w:r>
        <w:rPr>
          <w:rFonts w:ascii="Times New Roman" w:eastAsia="仿宋"/>
          <w:color w:val="000000"/>
          <w:sz w:val="32"/>
          <w:szCs w:val="32"/>
        </w:rPr>
        <w:t>行政事业单位医疗（款）</w:t>
      </w:r>
      <w:r>
        <w:rPr>
          <w:rFonts w:ascii="Times New Roman" w:eastAsia="仿宋"/>
        </w:rPr>
        <w:t>事业单位医疗</w:t>
      </w:r>
      <w:r>
        <w:rPr>
          <w:rFonts w:ascii="Times New Roman" w:eastAsia="仿宋"/>
          <w:color w:val="000000"/>
          <w:sz w:val="32"/>
          <w:szCs w:val="32"/>
        </w:rPr>
        <w:t>（项）：反映财政部门安排的事业单位基本医疗保险缴费经费，未参加医疗保险的事业单位的公费医疗经费，按国家规定享受离休人员待遇的医疗经费；</w:t>
      </w:r>
    </w:p>
    <w:p>
      <w:pPr>
        <w:pStyle w:val="2"/>
        <w:spacing w:before="93" w:line="600" w:lineRule="exact"/>
        <w:ind w:firstLine="640" w:firstLineChars="200"/>
        <w:rPr>
          <w:rFonts w:ascii="Times New Roman" w:eastAsia="仿宋"/>
        </w:rPr>
      </w:pPr>
      <w:r>
        <w:rPr>
          <w:rFonts w:ascii="Times New Roman" w:eastAsia="仿宋"/>
          <w:color w:val="000000"/>
          <w:sz w:val="32"/>
          <w:szCs w:val="32"/>
        </w:rPr>
        <w:t>行政事业单位医疗（款）</w:t>
      </w:r>
      <w:r>
        <w:rPr>
          <w:rFonts w:ascii="Times New Roman" w:eastAsia="仿宋"/>
        </w:rPr>
        <w:t>公务员医疗补助</w:t>
      </w:r>
      <w:r>
        <w:rPr>
          <w:rFonts w:ascii="Times New Roman" w:eastAsia="仿宋"/>
          <w:color w:val="000000"/>
          <w:sz w:val="32"/>
          <w:szCs w:val="32"/>
        </w:rPr>
        <w:t>（项）：反映财政部门安排的公务员医疗补助经费。</w:t>
      </w:r>
    </w:p>
    <w:p>
      <w:pPr>
        <w:numPr>
          <w:ilvl w:val="0"/>
          <w:numId w:val="7"/>
        </w:numPr>
        <w:spacing w:line="600" w:lineRule="exact"/>
        <w:ind w:left="420" w:leftChars="200"/>
        <w:rPr>
          <w:rFonts w:eastAsia="仿宋"/>
          <w:color w:val="000000"/>
          <w:sz w:val="32"/>
          <w:szCs w:val="32"/>
        </w:rPr>
      </w:pPr>
      <w:r>
        <w:rPr>
          <w:rFonts w:eastAsia="仿宋"/>
          <w:color w:val="000000"/>
          <w:sz w:val="32"/>
          <w:szCs w:val="32"/>
        </w:rPr>
        <w:t>农林水支出（类）</w:t>
      </w:r>
    </w:p>
    <w:p>
      <w:pPr>
        <w:spacing w:line="600" w:lineRule="exact"/>
        <w:ind w:firstLine="640" w:firstLineChars="200"/>
        <w:rPr>
          <w:rFonts w:eastAsia="仿宋"/>
          <w:color w:val="000000"/>
          <w:sz w:val="32"/>
          <w:szCs w:val="32"/>
        </w:rPr>
      </w:pPr>
      <w:r>
        <w:rPr>
          <w:rFonts w:eastAsia="仿宋"/>
          <w:color w:val="000000"/>
          <w:sz w:val="32"/>
          <w:szCs w:val="32"/>
        </w:rPr>
        <w:t>水利（款）行政运行（项）：反映行政单位（包括实行公务员管理的事业单位）的基本支出；</w:t>
      </w:r>
    </w:p>
    <w:p>
      <w:pPr>
        <w:spacing w:line="600" w:lineRule="exact"/>
        <w:ind w:firstLine="640" w:firstLineChars="200"/>
        <w:rPr>
          <w:rFonts w:eastAsia="仿宋"/>
          <w:color w:val="000000"/>
          <w:sz w:val="32"/>
          <w:szCs w:val="32"/>
        </w:rPr>
      </w:pPr>
      <w:r>
        <w:rPr>
          <w:rFonts w:eastAsia="仿宋"/>
          <w:color w:val="000000"/>
          <w:sz w:val="32"/>
          <w:szCs w:val="32"/>
        </w:rPr>
        <w:t>水利（款）一般行政管理事务（项）：反映行政单位（包括实行公务员管理的事业单位）未单独设置项级科目的其他项目支出；</w:t>
      </w:r>
    </w:p>
    <w:p>
      <w:pPr>
        <w:spacing w:line="600" w:lineRule="exact"/>
        <w:ind w:firstLine="640" w:firstLineChars="200"/>
        <w:rPr>
          <w:rFonts w:eastAsia="仿宋"/>
          <w:color w:val="000000"/>
          <w:sz w:val="32"/>
          <w:szCs w:val="32"/>
        </w:rPr>
      </w:pPr>
      <w:r>
        <w:rPr>
          <w:rFonts w:eastAsia="仿宋"/>
          <w:color w:val="000000"/>
          <w:sz w:val="32"/>
          <w:szCs w:val="32"/>
        </w:rPr>
        <w:t>水利（款）防汛（项）：反映防汛业务支出；</w:t>
      </w:r>
    </w:p>
    <w:p>
      <w:pPr>
        <w:spacing w:line="600" w:lineRule="exact"/>
        <w:ind w:firstLine="640" w:firstLineChars="200"/>
        <w:rPr>
          <w:rFonts w:eastAsia="仿宋"/>
          <w:color w:val="000000"/>
          <w:sz w:val="32"/>
          <w:szCs w:val="32"/>
        </w:rPr>
      </w:pPr>
      <w:r>
        <w:rPr>
          <w:rFonts w:eastAsia="仿宋"/>
          <w:color w:val="000000"/>
          <w:sz w:val="32"/>
          <w:szCs w:val="32"/>
        </w:rPr>
        <w:t>水利（款）农村水利（项）：反映国家对中型灌区节水配套改造、牧区水利建设、小型水源建设、农村河塘整治以</w:t>
      </w:r>
      <w:r>
        <w:rPr>
          <w:rFonts w:hint="eastAsia" w:eastAsia="仿宋"/>
          <w:color w:val="000000"/>
          <w:sz w:val="32"/>
          <w:szCs w:val="32"/>
        </w:rPr>
        <w:t>及</w:t>
      </w:r>
      <w:r>
        <w:rPr>
          <w:rFonts w:eastAsia="仿宋"/>
          <w:color w:val="000000"/>
          <w:sz w:val="32"/>
          <w:szCs w:val="32"/>
        </w:rPr>
        <w:t>排灌站、小水电站补助等。</w:t>
      </w:r>
    </w:p>
    <w:p>
      <w:pPr>
        <w:spacing w:line="600" w:lineRule="exact"/>
        <w:ind w:firstLine="640" w:firstLineChars="200"/>
        <w:rPr>
          <w:rFonts w:eastAsia="仿宋"/>
          <w:color w:val="000000"/>
          <w:sz w:val="32"/>
          <w:szCs w:val="32"/>
        </w:rPr>
      </w:pPr>
      <w:r>
        <w:rPr>
          <w:rFonts w:eastAsia="仿宋"/>
          <w:color w:val="000000"/>
          <w:sz w:val="32"/>
          <w:szCs w:val="32"/>
        </w:rPr>
        <w:t>7.住房保障支出（类）</w:t>
      </w:r>
    </w:p>
    <w:p>
      <w:pPr>
        <w:spacing w:line="600" w:lineRule="exact"/>
        <w:ind w:firstLine="640" w:firstLineChars="200"/>
        <w:rPr>
          <w:rFonts w:eastAsia="仿宋"/>
          <w:color w:val="000000"/>
          <w:sz w:val="32"/>
          <w:szCs w:val="32"/>
        </w:rPr>
      </w:pPr>
      <w:r>
        <w:rPr>
          <w:rFonts w:eastAsia="仿宋"/>
          <w:color w:val="000000"/>
          <w:sz w:val="32"/>
          <w:szCs w:val="32"/>
        </w:rPr>
        <w:t>住房改革支出（款）住房公积金（项）：反映行政事业单位按人力资源和社会保障部、财政部规定的基本工资和津补贴以及规定比例为职工缴纳的住房公积金；</w:t>
      </w:r>
    </w:p>
    <w:p>
      <w:pPr>
        <w:spacing w:line="600" w:lineRule="exact"/>
        <w:ind w:firstLine="640" w:firstLineChars="200"/>
        <w:rPr>
          <w:rFonts w:eastAsia="仿宋"/>
          <w:color w:val="000000"/>
          <w:sz w:val="32"/>
          <w:szCs w:val="32"/>
        </w:rPr>
      </w:pPr>
      <w:r>
        <w:rPr>
          <w:rFonts w:eastAsia="仿宋"/>
          <w:color w:val="000000"/>
          <w:sz w:val="32"/>
          <w:szCs w:val="32"/>
        </w:rPr>
        <w:t>住房改革支出（款）购房补贴（项）：反映按房改政策规定，行政事业单位向符合条件职工（含离退休人员）、军队（含武警）向转役复员离退休人员发放的用于购买住房的补贴。</w:t>
      </w:r>
    </w:p>
    <w:p>
      <w:pPr>
        <w:spacing w:line="600" w:lineRule="exact"/>
        <w:ind w:firstLine="640" w:firstLineChars="200"/>
        <w:rPr>
          <w:rFonts w:eastAsia="仿宋"/>
          <w:color w:val="000000"/>
          <w:sz w:val="32"/>
          <w:szCs w:val="32"/>
        </w:rPr>
      </w:pPr>
      <w:r>
        <w:rPr>
          <w:rFonts w:eastAsia="仿宋"/>
          <w:color w:val="000000"/>
          <w:sz w:val="32"/>
          <w:szCs w:val="32"/>
        </w:rPr>
        <w:t>8.基本支出：指为保障机构正常运转、完成日常工作任务而发生的人员支出和公用支出。</w:t>
      </w:r>
    </w:p>
    <w:p>
      <w:pPr>
        <w:spacing w:line="600" w:lineRule="exact"/>
        <w:ind w:firstLine="640" w:firstLineChars="200"/>
        <w:rPr>
          <w:rFonts w:eastAsia="仿宋"/>
          <w:color w:val="000000"/>
          <w:sz w:val="32"/>
          <w:szCs w:val="32"/>
        </w:rPr>
      </w:pPr>
      <w:r>
        <w:rPr>
          <w:rFonts w:eastAsia="仿宋"/>
          <w:color w:val="000000"/>
          <w:sz w:val="32"/>
          <w:szCs w:val="32"/>
        </w:rPr>
        <w:t xml:space="preserve">9.项目支出：指在基本支出之外为完成特定行政任务和事业发展目标所发生的支出。 </w:t>
      </w:r>
    </w:p>
    <w:p>
      <w:pPr>
        <w:pStyle w:val="28"/>
        <w:spacing w:line="600" w:lineRule="exact"/>
        <w:ind w:firstLine="640" w:firstLineChars="200"/>
        <w:rPr>
          <w:rFonts w:ascii="Times New Roman" w:hAnsi="Times New Roman" w:cs="Times New Roman"/>
          <w:sz w:val="32"/>
          <w:szCs w:val="32"/>
        </w:rPr>
      </w:pPr>
      <w:r>
        <w:rPr>
          <w:rFonts w:ascii="Times New Roman" w:hAnsi="Times New Roman" w:cs="Times New Roman"/>
          <w:sz w:val="32"/>
          <w:szCs w:val="32"/>
        </w:rPr>
        <w:t>10.“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8"/>
        <w:spacing w:line="600" w:lineRule="exact"/>
        <w:ind w:firstLine="640" w:firstLineChars="200"/>
        <w:rPr>
          <w:rFonts w:ascii="Times New Roman" w:hAnsi="Times New Roman" w:cs="Times New Roman"/>
          <w:sz w:val="32"/>
          <w:szCs w:val="32"/>
        </w:rPr>
      </w:pPr>
      <w:r>
        <w:rPr>
          <w:rFonts w:ascii="Times New Roman" w:hAnsi="Times New Roman" w:cs="Times New Roman"/>
          <w:sz w:val="32"/>
          <w:szCs w:val="32"/>
        </w:rPr>
        <w:t>11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
        <w:spacing w:before="93" w:line="600" w:lineRule="exact"/>
        <w:rPr>
          <w:rFonts w:ascii="Times New Roman" w:eastAsia="仿宋"/>
          <w:lang w:val="zh-CN"/>
        </w:rPr>
      </w:pPr>
      <w:bookmarkStart w:id="69" w:name="_Toc15377226"/>
      <w:r>
        <w:rPr>
          <w:rFonts w:ascii="Times New Roman" w:eastAsia="仿宋"/>
          <w:b/>
          <w:color w:val="000000"/>
          <w:sz w:val="44"/>
          <w:szCs w:val="44"/>
        </w:rPr>
        <w:br w:type="page"/>
      </w:r>
    </w:p>
    <w:p>
      <w:pPr>
        <w:pStyle w:val="3"/>
        <w:jc w:val="center"/>
        <w:rPr>
          <w:rStyle w:val="30"/>
          <w:rFonts w:eastAsia="黑体"/>
          <w:b w:val="0"/>
          <w:bCs/>
        </w:rPr>
      </w:pPr>
      <w:bookmarkStart w:id="70" w:name="_Toc18841"/>
      <w:r>
        <w:t>第四部分 附件</w:t>
      </w:r>
      <w:bookmarkEnd w:id="70"/>
    </w:p>
    <w:p>
      <w:pPr>
        <w:spacing w:line="580" w:lineRule="exact"/>
        <w:rPr>
          <w:rFonts w:eastAsia="仿宋_GB2312"/>
          <w:sz w:val="32"/>
          <w:szCs w:val="32"/>
        </w:rPr>
      </w:pPr>
    </w:p>
    <w:p>
      <w:pPr>
        <w:spacing w:line="600" w:lineRule="exact"/>
        <w:jc w:val="center"/>
        <w:rPr>
          <w:rFonts w:eastAsia="方正小标宋简体"/>
          <w:kern w:val="0"/>
          <w:sz w:val="44"/>
          <w:szCs w:val="44"/>
          <w:lang w:val="zh-CN"/>
        </w:rPr>
      </w:pPr>
      <w:r>
        <w:rPr>
          <w:rFonts w:eastAsia="方正小标宋简体"/>
          <w:kern w:val="0"/>
          <w:sz w:val="44"/>
          <w:szCs w:val="44"/>
          <w:lang w:val="zh-CN"/>
        </w:rPr>
        <w:t>202</w:t>
      </w:r>
      <w:r>
        <w:rPr>
          <w:rFonts w:eastAsia="方正小标宋简体"/>
          <w:kern w:val="0"/>
          <w:sz w:val="44"/>
          <w:szCs w:val="44"/>
        </w:rPr>
        <w:t>0</w:t>
      </w:r>
      <w:r>
        <w:rPr>
          <w:rFonts w:eastAsia="方正小标宋简体"/>
          <w:kern w:val="0"/>
          <w:sz w:val="44"/>
          <w:szCs w:val="44"/>
          <w:lang w:val="zh-CN"/>
        </w:rPr>
        <w:t>年“</w:t>
      </w:r>
      <w:r>
        <w:rPr>
          <w:rFonts w:eastAsia="方正小标宋简体"/>
          <w:kern w:val="0"/>
          <w:sz w:val="44"/>
          <w:szCs w:val="44"/>
        </w:rPr>
        <w:t>办公设施改造工程</w:t>
      </w:r>
      <w:r>
        <w:rPr>
          <w:rFonts w:eastAsia="方正小标宋简体"/>
          <w:kern w:val="0"/>
          <w:sz w:val="44"/>
          <w:szCs w:val="44"/>
          <w:lang w:val="zh-CN"/>
        </w:rPr>
        <w:t>”</w:t>
      </w:r>
      <w:r>
        <w:rPr>
          <w:rFonts w:eastAsia="方正小标宋简体"/>
          <w:kern w:val="0"/>
          <w:sz w:val="44"/>
          <w:szCs w:val="44"/>
        </w:rPr>
        <w:t>项目</w:t>
      </w:r>
      <w:r>
        <w:rPr>
          <w:rFonts w:eastAsia="方正小标宋简体"/>
          <w:kern w:val="0"/>
          <w:sz w:val="44"/>
          <w:szCs w:val="44"/>
          <w:lang w:val="zh-CN"/>
        </w:rPr>
        <w:t>支出</w:t>
      </w:r>
    </w:p>
    <w:p>
      <w:pPr>
        <w:spacing w:line="600" w:lineRule="exact"/>
        <w:jc w:val="center"/>
        <w:rPr>
          <w:rFonts w:eastAsia="方正小标宋简体"/>
          <w:kern w:val="0"/>
          <w:sz w:val="44"/>
          <w:szCs w:val="44"/>
          <w:lang w:val="zh-CN"/>
        </w:rPr>
      </w:pPr>
      <w:r>
        <w:rPr>
          <w:rFonts w:eastAsia="方正小标宋简体"/>
          <w:kern w:val="0"/>
          <w:sz w:val="44"/>
          <w:szCs w:val="44"/>
          <w:lang w:val="zh-CN"/>
        </w:rPr>
        <w:t>绩效自评报告</w:t>
      </w:r>
    </w:p>
    <w:p>
      <w:pPr>
        <w:spacing w:line="600" w:lineRule="exact"/>
        <w:ind w:firstLine="640"/>
        <w:jc w:val="center"/>
        <w:rPr>
          <w:sz w:val="32"/>
          <w:szCs w:val="32"/>
          <w:lang w:val="zh-CN"/>
        </w:rPr>
      </w:pPr>
    </w:p>
    <w:p>
      <w:pPr>
        <w:adjustRightInd w:val="0"/>
        <w:snapToGrid w:val="0"/>
        <w:spacing w:line="600" w:lineRule="exact"/>
        <w:ind w:firstLine="720"/>
        <w:rPr>
          <w:rFonts w:eastAsia="黑体"/>
          <w:sz w:val="32"/>
          <w:szCs w:val="32"/>
          <w:lang w:val="zh-CN"/>
        </w:rPr>
      </w:pPr>
      <w:r>
        <w:rPr>
          <w:rFonts w:eastAsia="黑体"/>
          <w:sz w:val="32"/>
          <w:szCs w:val="32"/>
        </w:rPr>
        <w:t>一、</w:t>
      </w:r>
      <w:r>
        <w:rPr>
          <w:rFonts w:eastAsia="黑体"/>
          <w:sz w:val="32"/>
          <w:szCs w:val="32"/>
          <w:lang w:val="zh-CN"/>
        </w:rPr>
        <w:t>项目概况</w:t>
      </w:r>
    </w:p>
    <w:p>
      <w:pPr>
        <w:adjustRightInd w:val="0"/>
        <w:snapToGrid w:val="0"/>
        <w:spacing w:line="600" w:lineRule="exact"/>
        <w:ind w:left="720"/>
        <w:rPr>
          <w:rFonts w:eastAsia="楷体"/>
          <w:bCs/>
          <w:sz w:val="32"/>
          <w:szCs w:val="32"/>
          <w:lang w:val="zh-CN"/>
        </w:rPr>
      </w:pPr>
      <w:r>
        <w:rPr>
          <w:rFonts w:eastAsia="楷体"/>
          <w:bCs/>
          <w:sz w:val="32"/>
          <w:szCs w:val="32"/>
          <w:lang w:val="zh-CN"/>
        </w:rPr>
        <w:t>（</w:t>
      </w:r>
      <w:r>
        <w:rPr>
          <w:rFonts w:eastAsia="楷体"/>
          <w:bCs/>
          <w:sz w:val="32"/>
          <w:szCs w:val="32"/>
        </w:rPr>
        <w:t>一</w:t>
      </w:r>
      <w:r>
        <w:rPr>
          <w:rFonts w:eastAsia="楷体"/>
          <w:bCs/>
          <w:sz w:val="32"/>
          <w:szCs w:val="32"/>
          <w:lang w:val="zh-CN"/>
        </w:rPr>
        <w:t>）项目资金申报及批复情况。</w:t>
      </w:r>
      <w:r>
        <w:rPr>
          <w:rFonts w:eastAsia="楷体"/>
          <w:bCs/>
          <w:sz w:val="32"/>
          <w:szCs w:val="32"/>
        </w:rPr>
        <w:t xml:space="preserve"> </w:t>
      </w:r>
    </w:p>
    <w:p>
      <w:pPr>
        <w:pStyle w:val="2"/>
        <w:spacing w:before="93" w:line="600" w:lineRule="exact"/>
        <w:ind w:firstLine="640"/>
        <w:rPr>
          <w:rFonts w:ascii="Times New Roman" w:eastAsia="仿宋"/>
          <w:sz w:val="32"/>
          <w:szCs w:val="32"/>
        </w:rPr>
      </w:pPr>
      <w:r>
        <w:rPr>
          <w:rFonts w:ascii="Times New Roman" w:eastAsia="仿宋"/>
          <w:sz w:val="32"/>
          <w:szCs w:val="32"/>
        </w:rPr>
        <w:t>“办公设施改造工程”该项目2020年预算申报资金</w:t>
      </w:r>
      <w:r>
        <w:rPr>
          <w:rFonts w:ascii="Times New Roman" w:eastAsia="仿宋"/>
          <w:color w:val="000000"/>
          <w:sz w:val="32"/>
          <w:szCs w:val="32"/>
        </w:rPr>
        <w:t>8.68</w:t>
      </w:r>
      <w:r>
        <w:rPr>
          <w:rFonts w:ascii="Times New Roman" w:eastAsia="仿宋"/>
          <w:sz w:val="32"/>
          <w:szCs w:val="32"/>
        </w:rPr>
        <w:t>万元，我局严格根据《四川省财政厅关于编制省级部门</w:t>
      </w:r>
      <w:r>
        <w:rPr>
          <w:rFonts w:ascii="Times New Roman" w:eastAsia="仿宋"/>
          <w:color w:val="000000"/>
          <w:sz w:val="32"/>
          <w:szCs w:val="32"/>
        </w:rPr>
        <w:t>2020-2022</w:t>
      </w:r>
      <w:r>
        <w:rPr>
          <w:rFonts w:ascii="Times New Roman" w:eastAsia="仿宋"/>
          <w:sz w:val="32"/>
          <w:szCs w:val="32"/>
        </w:rPr>
        <w:t>年支出规划和</w:t>
      </w:r>
      <w:r>
        <w:rPr>
          <w:rFonts w:ascii="Times New Roman" w:eastAsia="仿宋"/>
          <w:color w:val="000000"/>
          <w:sz w:val="32"/>
          <w:szCs w:val="32"/>
        </w:rPr>
        <w:t>2020</w:t>
      </w:r>
      <w:r>
        <w:rPr>
          <w:rFonts w:ascii="Times New Roman" w:eastAsia="仿宋"/>
          <w:sz w:val="32"/>
          <w:szCs w:val="32"/>
        </w:rPr>
        <w:t>年部门预算的通知》（川财预</w:t>
      </w:r>
      <w:r>
        <w:rPr>
          <w:rFonts w:ascii="Times New Roman" w:eastAsia="仿宋"/>
          <w:color w:val="000000"/>
          <w:sz w:val="32"/>
          <w:szCs w:val="32"/>
        </w:rPr>
        <w:t>〔2019〕93号</w:t>
      </w:r>
      <w:r>
        <w:rPr>
          <w:rFonts w:ascii="Times New Roman" w:eastAsia="仿宋"/>
          <w:sz w:val="32"/>
          <w:szCs w:val="32"/>
        </w:rPr>
        <w:t>）有关规定，并基于本单位工作职能和事业发展需要编制相关预算。</w:t>
      </w:r>
    </w:p>
    <w:p>
      <w:pPr>
        <w:pStyle w:val="2"/>
        <w:spacing w:before="93" w:line="600" w:lineRule="exact"/>
        <w:ind w:firstLine="640" w:firstLineChars="200"/>
        <w:rPr>
          <w:rFonts w:ascii="Times New Roman" w:eastAsia="仿宋"/>
          <w:b/>
          <w:bCs/>
          <w:sz w:val="32"/>
          <w:szCs w:val="32"/>
        </w:rPr>
      </w:pPr>
      <w:r>
        <w:rPr>
          <w:rFonts w:ascii="Times New Roman" w:eastAsia="仿宋"/>
          <w:sz w:val="32"/>
          <w:szCs w:val="32"/>
        </w:rPr>
        <w:t>财政厅实际于2020年6月批复资金</w:t>
      </w:r>
      <w:r>
        <w:rPr>
          <w:rFonts w:ascii="Times New Roman" w:eastAsia="仿宋"/>
          <w:color w:val="000000"/>
          <w:sz w:val="32"/>
          <w:szCs w:val="32"/>
        </w:rPr>
        <w:t>8.68</w:t>
      </w:r>
      <w:r>
        <w:rPr>
          <w:rFonts w:ascii="Times New Roman" w:eastAsia="仿宋"/>
          <w:sz w:val="32"/>
          <w:szCs w:val="32"/>
        </w:rPr>
        <w:t>万元，详</w:t>
      </w:r>
      <w:r>
        <w:rPr>
          <w:rFonts w:hint="eastAsia" w:ascii="Times New Roman" w:eastAsia="仿宋"/>
          <w:sz w:val="32"/>
          <w:szCs w:val="32"/>
        </w:rPr>
        <w:t>见</w:t>
      </w:r>
      <w:r>
        <w:rPr>
          <w:rFonts w:ascii="Times New Roman" w:eastAsia="仿宋"/>
          <w:sz w:val="32"/>
          <w:szCs w:val="32"/>
        </w:rPr>
        <w:t>《四川省财政厅关于批复省级2020年部门预算的通知》（川财农</w:t>
      </w:r>
      <w:r>
        <w:rPr>
          <w:rFonts w:ascii="Times New Roman" w:eastAsia="仿宋"/>
          <w:color w:val="000000"/>
          <w:sz w:val="32"/>
          <w:szCs w:val="32"/>
        </w:rPr>
        <w:t>〔2020〕56号</w:t>
      </w:r>
      <w:r>
        <w:rPr>
          <w:rFonts w:ascii="Times New Roman" w:eastAsia="仿宋"/>
          <w:color w:val="000000"/>
          <w:sz w:val="32"/>
          <w:szCs w:val="32"/>
          <w:lang w:val="en"/>
        </w:rPr>
        <w:t>）</w:t>
      </w:r>
      <w:r>
        <w:rPr>
          <w:rFonts w:ascii="Times New Roman" w:eastAsia="仿宋"/>
          <w:color w:val="000000"/>
          <w:sz w:val="32"/>
          <w:szCs w:val="32"/>
        </w:rPr>
        <w:t>和《四川省水利厅关于批复2020年直属预算单位部门预算的通知》</w:t>
      </w:r>
      <w:r>
        <w:rPr>
          <w:rFonts w:ascii="Times New Roman" w:eastAsia="仿宋"/>
          <w:sz w:val="32"/>
          <w:szCs w:val="32"/>
        </w:rPr>
        <w:t>（川水函</w:t>
      </w:r>
      <w:r>
        <w:rPr>
          <w:rFonts w:ascii="Times New Roman" w:eastAsia="仿宋"/>
          <w:color w:val="000000"/>
          <w:sz w:val="32"/>
          <w:szCs w:val="32"/>
        </w:rPr>
        <w:t>〔2020〕778号</w:t>
      </w:r>
      <w:r>
        <w:rPr>
          <w:rFonts w:ascii="Times New Roman" w:eastAsia="仿宋"/>
          <w:color w:val="000000"/>
          <w:sz w:val="32"/>
          <w:szCs w:val="32"/>
          <w:lang w:val="en"/>
        </w:rPr>
        <w:t>）。</w:t>
      </w:r>
    </w:p>
    <w:p>
      <w:pPr>
        <w:adjustRightInd w:val="0"/>
        <w:snapToGrid w:val="0"/>
        <w:spacing w:line="600" w:lineRule="exact"/>
        <w:ind w:left="720"/>
        <w:rPr>
          <w:rFonts w:eastAsia="楷体"/>
          <w:bCs/>
          <w:sz w:val="32"/>
          <w:szCs w:val="32"/>
        </w:rPr>
      </w:pPr>
      <w:r>
        <w:rPr>
          <w:rFonts w:eastAsia="楷体"/>
          <w:bCs/>
          <w:sz w:val="32"/>
          <w:szCs w:val="32"/>
          <w:lang w:val="zh-CN"/>
        </w:rPr>
        <w:t>（</w:t>
      </w:r>
      <w:r>
        <w:rPr>
          <w:rFonts w:eastAsia="楷体"/>
          <w:bCs/>
          <w:sz w:val="32"/>
          <w:szCs w:val="32"/>
        </w:rPr>
        <w:t>二</w:t>
      </w:r>
      <w:r>
        <w:rPr>
          <w:rFonts w:eastAsia="楷体"/>
          <w:bCs/>
          <w:sz w:val="32"/>
          <w:szCs w:val="32"/>
          <w:lang w:val="zh-CN"/>
        </w:rPr>
        <w:t>）项目绩效目标。</w:t>
      </w:r>
      <w:r>
        <w:rPr>
          <w:rFonts w:eastAsia="楷体"/>
          <w:bCs/>
          <w:sz w:val="32"/>
          <w:szCs w:val="32"/>
        </w:rPr>
        <w:t xml:space="preserve"> </w:t>
      </w:r>
    </w:p>
    <w:p>
      <w:pPr>
        <w:adjustRightInd w:val="0"/>
        <w:snapToGrid w:val="0"/>
        <w:spacing w:line="600" w:lineRule="exact"/>
        <w:ind w:firstLine="640" w:firstLineChars="200"/>
        <w:rPr>
          <w:rFonts w:eastAsia="仿宋"/>
          <w:color w:val="000000"/>
          <w:kern w:val="0"/>
          <w:sz w:val="32"/>
          <w:szCs w:val="32"/>
        </w:rPr>
      </w:pPr>
      <w:r>
        <w:rPr>
          <w:rFonts w:eastAsia="仿宋"/>
          <w:color w:val="000000"/>
          <w:kern w:val="0"/>
          <w:sz w:val="32"/>
          <w:szCs w:val="32"/>
        </w:rPr>
        <w:t>根据《水利部关于开展水利行业节水机关建设工作的通知》（水节约〔2019〕92号）、《四川省水利厅关于开展水利行业节水机关建设工作的通知》（川水函〔2019〕551号）要求，该项目资金主要用于开展节水机关创建等工作。</w:t>
      </w:r>
    </w:p>
    <w:p>
      <w:pPr>
        <w:adjustRightInd w:val="0"/>
        <w:snapToGrid w:val="0"/>
        <w:spacing w:line="600" w:lineRule="exact"/>
        <w:ind w:firstLine="720"/>
        <w:rPr>
          <w:rFonts w:eastAsia="仿宋"/>
          <w:sz w:val="32"/>
          <w:szCs w:val="32"/>
        </w:rPr>
      </w:pPr>
      <w:r>
        <w:rPr>
          <w:rFonts w:eastAsia="仿宋"/>
          <w:color w:val="000000"/>
          <w:kern w:val="0"/>
          <w:sz w:val="32"/>
          <w:szCs w:val="32"/>
        </w:rPr>
        <w:t>计划实现的绩效目标：通过</w:t>
      </w:r>
      <w:r>
        <w:rPr>
          <w:rFonts w:eastAsia="仿宋"/>
          <w:sz w:val="32"/>
          <w:szCs w:val="32"/>
        </w:rPr>
        <w:t>综合集成各项节水措施，强化用水过程管理，提升职工节水意识，争创节水机关。具体而言，更换节水器具数量98个；开展节水宣传1次以上；更换各级水表10只以上；更新改造供水管网2500米以上；安装1处以上雨水再利用节水装置；预计2020年12月底前完成以上全部节水设施改造。</w:t>
      </w:r>
    </w:p>
    <w:p>
      <w:pPr>
        <w:adjustRightInd w:val="0"/>
        <w:snapToGrid w:val="0"/>
        <w:spacing w:line="600" w:lineRule="exact"/>
        <w:ind w:left="720"/>
        <w:rPr>
          <w:rFonts w:eastAsia="楷体"/>
          <w:bCs/>
          <w:sz w:val="32"/>
          <w:szCs w:val="32"/>
          <w:lang w:val="zh-CN"/>
        </w:rPr>
      </w:pPr>
      <w:r>
        <w:rPr>
          <w:rFonts w:eastAsia="楷体"/>
          <w:bCs/>
          <w:sz w:val="32"/>
          <w:szCs w:val="32"/>
          <w:lang w:val="zh-CN"/>
        </w:rPr>
        <w:t>（</w:t>
      </w:r>
      <w:r>
        <w:rPr>
          <w:rFonts w:eastAsia="楷体"/>
          <w:bCs/>
          <w:sz w:val="32"/>
          <w:szCs w:val="32"/>
        </w:rPr>
        <w:t>三</w:t>
      </w:r>
      <w:r>
        <w:rPr>
          <w:rFonts w:eastAsia="楷体"/>
          <w:bCs/>
          <w:sz w:val="32"/>
          <w:szCs w:val="32"/>
          <w:lang w:val="zh-CN"/>
        </w:rPr>
        <w:t>）项目资金申报相符性。</w:t>
      </w:r>
    </w:p>
    <w:p>
      <w:pPr>
        <w:adjustRightInd w:val="0"/>
        <w:snapToGrid w:val="0"/>
        <w:spacing w:line="600" w:lineRule="exact"/>
        <w:ind w:firstLine="640" w:firstLineChars="200"/>
        <w:rPr>
          <w:rFonts w:eastAsia="仿宋"/>
          <w:sz w:val="32"/>
          <w:szCs w:val="32"/>
        </w:rPr>
      </w:pPr>
      <w:r>
        <w:rPr>
          <w:rFonts w:eastAsia="仿宋"/>
          <w:sz w:val="32"/>
          <w:szCs w:val="32"/>
        </w:rPr>
        <w:t>该项目</w:t>
      </w:r>
      <w:r>
        <w:rPr>
          <w:rFonts w:eastAsia="仿宋"/>
          <w:sz w:val="32"/>
          <w:szCs w:val="32"/>
          <w:lang w:val="zh-CN"/>
        </w:rPr>
        <w:t>申报内容与具体实施内容相符，申报目标合理可行。</w:t>
      </w:r>
    </w:p>
    <w:p>
      <w:pPr>
        <w:adjustRightInd w:val="0"/>
        <w:snapToGrid w:val="0"/>
        <w:spacing w:line="600" w:lineRule="exact"/>
        <w:ind w:firstLine="720"/>
        <w:rPr>
          <w:rFonts w:eastAsia="黑体"/>
          <w:sz w:val="32"/>
          <w:szCs w:val="32"/>
        </w:rPr>
      </w:pPr>
      <w:r>
        <w:rPr>
          <w:rFonts w:eastAsia="黑体"/>
          <w:sz w:val="32"/>
          <w:szCs w:val="32"/>
        </w:rPr>
        <w:t>二、项目实施及管理情况</w:t>
      </w:r>
    </w:p>
    <w:p>
      <w:pPr>
        <w:adjustRightInd w:val="0"/>
        <w:snapToGrid w:val="0"/>
        <w:spacing w:line="600" w:lineRule="exact"/>
        <w:ind w:left="720"/>
        <w:rPr>
          <w:rFonts w:eastAsia="楷体"/>
          <w:bCs/>
          <w:sz w:val="32"/>
          <w:szCs w:val="32"/>
          <w:lang w:val="zh-CN"/>
        </w:rPr>
      </w:pPr>
      <w:r>
        <w:rPr>
          <w:rFonts w:eastAsia="楷体"/>
          <w:bCs/>
          <w:sz w:val="32"/>
          <w:szCs w:val="32"/>
          <w:lang w:val="zh-CN"/>
        </w:rPr>
        <w:t>（一）资金计划、到位及使用情况。</w:t>
      </w:r>
    </w:p>
    <w:p>
      <w:pPr>
        <w:adjustRightInd w:val="0"/>
        <w:snapToGrid w:val="0"/>
        <w:spacing w:line="600" w:lineRule="exact"/>
        <w:ind w:firstLine="720"/>
        <w:rPr>
          <w:rFonts w:eastAsia="仿宋"/>
          <w:sz w:val="32"/>
          <w:szCs w:val="32"/>
          <w:lang w:val="zh-CN"/>
        </w:rPr>
      </w:pPr>
      <w:r>
        <w:rPr>
          <w:rFonts w:eastAsia="仿宋"/>
          <w:sz w:val="32"/>
          <w:szCs w:val="32"/>
        </w:rPr>
        <w:t>1.</w:t>
      </w:r>
      <w:r>
        <w:rPr>
          <w:rFonts w:eastAsia="仿宋"/>
          <w:sz w:val="32"/>
          <w:szCs w:val="32"/>
          <w:lang w:val="zh-CN"/>
        </w:rPr>
        <w:t>资金计划及到位。</w:t>
      </w:r>
      <w:r>
        <w:rPr>
          <w:rFonts w:eastAsia="仿宋"/>
          <w:sz w:val="32"/>
          <w:szCs w:val="32"/>
        </w:rPr>
        <w:t xml:space="preserve"> </w:t>
      </w:r>
    </w:p>
    <w:p>
      <w:pPr>
        <w:pStyle w:val="2"/>
        <w:spacing w:before="93" w:line="600" w:lineRule="exact"/>
        <w:rPr>
          <w:rFonts w:ascii="Times New Roman" w:eastAsia="仿宋"/>
          <w:sz w:val="32"/>
          <w:szCs w:val="32"/>
        </w:rPr>
      </w:pPr>
      <w:r>
        <w:rPr>
          <w:rFonts w:ascii="Times New Roman" w:eastAsia="仿宋"/>
          <w:sz w:val="32"/>
          <w:szCs w:val="32"/>
        </w:rPr>
        <w:t xml:space="preserve">    该项目预算资金8.68万元全部属于财政拨款，款项于2020年6月一次性到位。</w:t>
      </w:r>
    </w:p>
    <w:p>
      <w:pPr>
        <w:adjustRightInd w:val="0"/>
        <w:snapToGrid w:val="0"/>
        <w:spacing w:line="600" w:lineRule="exact"/>
        <w:ind w:left="420" w:leftChars="200" w:firstLine="320" w:firstLineChars="100"/>
        <w:rPr>
          <w:rFonts w:eastAsia="仿宋"/>
          <w:sz w:val="32"/>
          <w:szCs w:val="32"/>
        </w:rPr>
      </w:pPr>
      <w:r>
        <w:rPr>
          <w:rFonts w:eastAsia="仿宋"/>
          <w:sz w:val="32"/>
          <w:szCs w:val="32"/>
        </w:rPr>
        <w:t>2.</w:t>
      </w:r>
      <w:r>
        <w:rPr>
          <w:rFonts w:eastAsia="仿宋"/>
          <w:sz w:val="32"/>
          <w:szCs w:val="32"/>
          <w:lang w:val="zh-CN"/>
        </w:rPr>
        <w:t>资金使用。</w:t>
      </w:r>
      <w:r>
        <w:rPr>
          <w:rFonts w:eastAsia="仿宋"/>
          <w:sz w:val="32"/>
          <w:szCs w:val="32"/>
        </w:rPr>
        <w:t xml:space="preserve"> </w:t>
      </w:r>
    </w:p>
    <w:p>
      <w:pPr>
        <w:pStyle w:val="2"/>
        <w:spacing w:before="93" w:line="600" w:lineRule="exact"/>
        <w:rPr>
          <w:rFonts w:ascii="Times New Roman" w:eastAsia="仿宋"/>
          <w:sz w:val="32"/>
          <w:szCs w:val="32"/>
        </w:rPr>
      </w:pPr>
      <w:r>
        <w:rPr>
          <w:rFonts w:ascii="Times New Roman" w:eastAsia="仿宋"/>
          <w:sz w:val="32"/>
          <w:szCs w:val="32"/>
        </w:rPr>
        <w:t xml:space="preserve">  </w:t>
      </w:r>
      <w:r>
        <w:rPr>
          <w:rFonts w:ascii="Times New Roman" w:eastAsia="仿宋"/>
          <w:kern w:val="2"/>
          <w:sz w:val="32"/>
          <w:szCs w:val="32"/>
        </w:rPr>
        <w:t xml:space="preserve">  该项目</w:t>
      </w:r>
      <w:r>
        <w:rPr>
          <w:rFonts w:hint="eastAsia" w:ascii="Times New Roman" w:eastAsia="仿宋"/>
          <w:kern w:val="2"/>
          <w:sz w:val="32"/>
          <w:szCs w:val="32"/>
        </w:rPr>
        <w:t>截至</w:t>
      </w:r>
      <w:r>
        <w:rPr>
          <w:rFonts w:ascii="Times New Roman" w:eastAsia="仿宋"/>
          <w:kern w:val="2"/>
          <w:sz w:val="32"/>
          <w:szCs w:val="32"/>
        </w:rPr>
        <w:t>2020年末实际支出8.68万元。资金开支范围包括更换节水器具、水表，改造供水管网，</w:t>
      </w:r>
      <w:r>
        <w:rPr>
          <w:rFonts w:ascii="Times New Roman" w:eastAsia="仿宋"/>
          <w:sz w:val="32"/>
          <w:szCs w:val="32"/>
        </w:rPr>
        <w:t>安装雨水再利用节水装置及开展节水宣传等。相关资金支付与预算相符且合规合法。</w:t>
      </w:r>
    </w:p>
    <w:p>
      <w:pPr>
        <w:adjustRightInd w:val="0"/>
        <w:snapToGrid w:val="0"/>
        <w:spacing w:line="600" w:lineRule="exact"/>
        <w:ind w:left="720"/>
        <w:rPr>
          <w:rFonts w:eastAsia="楷体"/>
          <w:bCs/>
          <w:sz w:val="32"/>
          <w:szCs w:val="32"/>
          <w:lang w:val="zh-CN"/>
        </w:rPr>
      </w:pPr>
      <w:r>
        <w:rPr>
          <w:rFonts w:eastAsia="楷体"/>
          <w:bCs/>
          <w:sz w:val="32"/>
          <w:szCs w:val="32"/>
          <w:lang w:val="zh-CN"/>
        </w:rPr>
        <w:t>（二）项目财务管理情况。</w:t>
      </w:r>
    </w:p>
    <w:p>
      <w:pPr>
        <w:pStyle w:val="2"/>
        <w:spacing w:before="93" w:line="600" w:lineRule="exact"/>
        <w:ind w:firstLine="640"/>
        <w:rPr>
          <w:rFonts w:ascii="Times New Roman" w:eastAsia="仿宋"/>
          <w:sz w:val="32"/>
          <w:szCs w:val="32"/>
        </w:rPr>
      </w:pPr>
      <w:r>
        <w:rPr>
          <w:rFonts w:ascii="Times New Roman" w:eastAsia="仿宋"/>
          <w:sz w:val="32"/>
          <w:szCs w:val="32"/>
        </w:rPr>
        <w:t xml:space="preserve"> 我单位适用政府会计准则制度，该项目相关支出严格按照《政府收支分类科目》中“部门预算支出经济分类科目”的款级科目进行明细核算，同时在“项目支出”明细科目下单独设立“办公设施改造工程”进行明细核算，财务处理及时，会计核算规范。</w:t>
      </w:r>
    </w:p>
    <w:p>
      <w:pPr>
        <w:adjustRightInd w:val="0"/>
        <w:snapToGrid w:val="0"/>
        <w:spacing w:line="600" w:lineRule="exact"/>
        <w:ind w:left="720"/>
        <w:rPr>
          <w:rFonts w:eastAsia="楷体"/>
          <w:bCs/>
          <w:sz w:val="32"/>
          <w:szCs w:val="32"/>
          <w:lang w:val="zh-CN"/>
        </w:rPr>
      </w:pPr>
      <w:r>
        <w:rPr>
          <w:rFonts w:eastAsia="楷体"/>
          <w:bCs/>
          <w:sz w:val="32"/>
          <w:szCs w:val="32"/>
        </w:rPr>
        <w:t xml:space="preserve"> </w:t>
      </w:r>
      <w:r>
        <w:rPr>
          <w:rFonts w:eastAsia="楷体"/>
          <w:bCs/>
          <w:sz w:val="32"/>
          <w:szCs w:val="32"/>
          <w:lang w:val="zh-CN"/>
        </w:rPr>
        <w:t>（三）项目组织实施情况。</w:t>
      </w:r>
    </w:p>
    <w:p>
      <w:pPr>
        <w:pStyle w:val="2"/>
        <w:spacing w:before="93" w:line="600" w:lineRule="exact"/>
        <w:rPr>
          <w:rFonts w:ascii="Times New Roman" w:eastAsia="仿宋"/>
          <w:sz w:val="32"/>
          <w:szCs w:val="32"/>
        </w:rPr>
      </w:pPr>
      <w:r>
        <w:rPr>
          <w:rFonts w:ascii="Times New Roman" w:eastAsia="仿宋"/>
          <w:sz w:val="32"/>
          <w:szCs w:val="32"/>
        </w:rPr>
        <w:t xml:space="preserve">  </w:t>
      </w:r>
      <w:r>
        <w:rPr>
          <w:rFonts w:ascii="Times New Roman" w:eastAsia="仿宋"/>
          <w:kern w:val="2"/>
          <w:sz w:val="32"/>
          <w:szCs w:val="32"/>
        </w:rPr>
        <w:t xml:space="preserve">  该项目主要由本单位负责后勤管理的科室进行实施，相关物资采购严格按照《四川省农田水利局物资采购管理制度》进行。物资采购执行党风廉政建设有关规定，局纪检部门全程介入监督，并接受干部职工监督。</w:t>
      </w:r>
    </w:p>
    <w:p>
      <w:pPr>
        <w:adjustRightInd w:val="0"/>
        <w:snapToGrid w:val="0"/>
        <w:spacing w:line="600" w:lineRule="exact"/>
        <w:ind w:firstLine="720"/>
        <w:rPr>
          <w:rFonts w:eastAsia="黑体"/>
          <w:sz w:val="32"/>
          <w:szCs w:val="32"/>
          <w:lang w:val="zh-CN"/>
        </w:rPr>
      </w:pPr>
      <w:r>
        <w:rPr>
          <w:rFonts w:eastAsia="黑体"/>
          <w:sz w:val="32"/>
          <w:szCs w:val="32"/>
        </w:rPr>
        <w:t>三、项目绩效情况</w:t>
      </w:r>
      <w:r>
        <w:rPr>
          <w:rFonts w:eastAsia="黑体"/>
          <w:sz w:val="32"/>
          <w:szCs w:val="32"/>
          <w:lang w:val="zh-CN"/>
        </w:rPr>
        <w:tab/>
      </w:r>
    </w:p>
    <w:p>
      <w:pPr>
        <w:adjustRightInd w:val="0"/>
        <w:snapToGrid w:val="0"/>
        <w:spacing w:line="600" w:lineRule="exact"/>
        <w:ind w:left="720"/>
        <w:rPr>
          <w:rFonts w:eastAsia="楷体"/>
          <w:bCs/>
          <w:sz w:val="32"/>
          <w:szCs w:val="32"/>
          <w:lang w:val="zh-CN"/>
        </w:rPr>
      </w:pPr>
      <w:r>
        <w:rPr>
          <w:rFonts w:eastAsia="楷体"/>
          <w:bCs/>
          <w:sz w:val="32"/>
          <w:szCs w:val="32"/>
          <w:lang w:val="zh-CN"/>
        </w:rPr>
        <w:t>（一）项目完成情况。</w:t>
      </w:r>
    </w:p>
    <w:p>
      <w:pPr>
        <w:adjustRightInd w:val="0"/>
        <w:snapToGrid w:val="0"/>
        <w:spacing w:line="600" w:lineRule="exact"/>
        <w:ind w:firstLine="640" w:firstLineChars="200"/>
        <w:rPr>
          <w:rFonts w:eastAsia="仿宋"/>
          <w:sz w:val="32"/>
          <w:szCs w:val="32"/>
        </w:rPr>
      </w:pPr>
      <w:r>
        <w:rPr>
          <w:rFonts w:eastAsia="仿宋"/>
          <w:sz w:val="32"/>
          <w:szCs w:val="32"/>
        </w:rPr>
        <w:t xml:space="preserve">截至2020年12月底，我局共计更换节水器具数量98个；开展节水宣传1次；更换各级水表12只；更新改造供水管网2750米；安装3处雨水再利用节水装置；节水器具验收合格率100%，节水设施改造按期完成率100%。 </w:t>
      </w:r>
    </w:p>
    <w:p>
      <w:pPr>
        <w:adjustRightInd w:val="0"/>
        <w:snapToGrid w:val="0"/>
        <w:spacing w:line="600" w:lineRule="exact"/>
        <w:ind w:left="720"/>
        <w:rPr>
          <w:rFonts w:eastAsia="楷体"/>
          <w:bCs/>
          <w:sz w:val="32"/>
          <w:szCs w:val="32"/>
        </w:rPr>
      </w:pPr>
      <w:r>
        <w:rPr>
          <w:rFonts w:eastAsia="楷体"/>
          <w:bCs/>
          <w:sz w:val="32"/>
          <w:szCs w:val="32"/>
          <w:lang w:val="zh-CN"/>
        </w:rPr>
        <w:t>（</w:t>
      </w:r>
      <w:r>
        <w:rPr>
          <w:rFonts w:eastAsia="楷体"/>
          <w:bCs/>
          <w:sz w:val="32"/>
          <w:szCs w:val="32"/>
        </w:rPr>
        <w:t>二</w:t>
      </w:r>
      <w:r>
        <w:rPr>
          <w:rFonts w:eastAsia="楷体"/>
          <w:bCs/>
          <w:sz w:val="32"/>
          <w:szCs w:val="32"/>
          <w:lang w:val="zh-CN"/>
        </w:rPr>
        <w:t>）项目效益情况。</w:t>
      </w:r>
      <w:r>
        <w:rPr>
          <w:rFonts w:eastAsia="楷体"/>
          <w:bCs/>
          <w:sz w:val="32"/>
          <w:szCs w:val="32"/>
        </w:rPr>
        <w:t xml:space="preserve"> </w:t>
      </w:r>
    </w:p>
    <w:p>
      <w:pPr>
        <w:spacing w:line="600" w:lineRule="exact"/>
        <w:ind w:firstLine="640" w:firstLineChars="200"/>
        <w:rPr>
          <w:rFonts w:eastAsia="仿宋"/>
          <w:sz w:val="32"/>
          <w:szCs w:val="32"/>
          <w:lang w:val="zh-CN"/>
        </w:rPr>
      </w:pPr>
      <w:r>
        <w:rPr>
          <w:rFonts w:eastAsia="仿宋"/>
          <w:color w:val="000000"/>
          <w:kern w:val="0"/>
          <w:sz w:val="32"/>
          <w:szCs w:val="32"/>
        </w:rPr>
        <w:t>通过</w:t>
      </w:r>
      <w:r>
        <w:rPr>
          <w:rFonts w:eastAsia="仿宋"/>
          <w:sz w:val="32"/>
          <w:szCs w:val="32"/>
        </w:rPr>
        <w:t>综合集成各项节水措施，强化用水过程管理，提升了职工节水意识，我局人均日用水节约率达46.12%，切实达到了节约水资源的目标，2020年10月，我局节水机关建设工作顺利通过省节水办验收。</w:t>
      </w:r>
    </w:p>
    <w:p>
      <w:pPr>
        <w:adjustRightInd w:val="0"/>
        <w:snapToGrid w:val="0"/>
        <w:spacing w:line="600" w:lineRule="exact"/>
        <w:ind w:firstLine="720"/>
        <w:rPr>
          <w:rFonts w:eastAsia="黑体"/>
          <w:sz w:val="32"/>
          <w:szCs w:val="32"/>
        </w:rPr>
      </w:pPr>
      <w:r>
        <w:rPr>
          <w:rFonts w:eastAsia="黑体"/>
          <w:sz w:val="32"/>
          <w:szCs w:val="32"/>
        </w:rPr>
        <w:t>四、问题及建议</w:t>
      </w:r>
    </w:p>
    <w:p>
      <w:pPr>
        <w:spacing w:line="600" w:lineRule="exact"/>
        <w:rPr>
          <w:rFonts w:eastAsia="仿宋"/>
          <w:sz w:val="32"/>
          <w:szCs w:val="32"/>
        </w:rPr>
      </w:pPr>
      <w:r>
        <w:rPr>
          <w:rFonts w:eastAsia="仿宋"/>
          <w:b/>
          <w:sz w:val="32"/>
          <w:szCs w:val="32"/>
        </w:rPr>
        <w:t xml:space="preserve">  </w:t>
      </w:r>
      <w:r>
        <w:rPr>
          <w:rFonts w:eastAsia="仿宋"/>
          <w:sz w:val="32"/>
          <w:szCs w:val="32"/>
        </w:rPr>
        <w:t xml:space="preserve">  无。</w:t>
      </w:r>
    </w:p>
    <w:p>
      <w:pPr>
        <w:pStyle w:val="2"/>
        <w:spacing w:before="93" w:line="600" w:lineRule="exact"/>
        <w:rPr>
          <w:rFonts w:ascii="Times New Roman" w:eastAsia="仿宋"/>
          <w:szCs w:val="30"/>
        </w:rPr>
      </w:pPr>
    </w:p>
    <w:p>
      <w:pPr>
        <w:pStyle w:val="2"/>
        <w:spacing w:before="93" w:line="600" w:lineRule="exact"/>
        <w:rPr>
          <w:rFonts w:ascii="Times New Roman" w:eastAsia="仿宋"/>
          <w:szCs w:val="30"/>
        </w:rPr>
      </w:pPr>
    </w:p>
    <w:p>
      <w:pPr>
        <w:spacing w:line="600" w:lineRule="exact"/>
        <w:jc w:val="center"/>
        <w:rPr>
          <w:rFonts w:eastAsia="方正小标宋简体"/>
          <w:kern w:val="0"/>
          <w:sz w:val="44"/>
          <w:szCs w:val="44"/>
          <w:lang w:val="zh-CN"/>
        </w:rPr>
      </w:pPr>
      <w:r>
        <w:rPr>
          <w:rFonts w:eastAsia="方正小标宋简体"/>
          <w:kern w:val="0"/>
          <w:sz w:val="44"/>
          <w:szCs w:val="44"/>
          <w:lang w:val="zh-CN"/>
        </w:rPr>
        <w:t>202</w:t>
      </w:r>
      <w:r>
        <w:rPr>
          <w:rFonts w:eastAsia="方正小标宋简体"/>
          <w:kern w:val="0"/>
          <w:sz w:val="44"/>
          <w:szCs w:val="44"/>
        </w:rPr>
        <w:t>0</w:t>
      </w:r>
      <w:r>
        <w:rPr>
          <w:rFonts w:eastAsia="方正小标宋简体"/>
          <w:kern w:val="0"/>
          <w:sz w:val="44"/>
          <w:szCs w:val="44"/>
          <w:lang w:val="zh-CN"/>
        </w:rPr>
        <w:t>年“</w:t>
      </w:r>
      <w:r>
        <w:rPr>
          <w:rFonts w:eastAsia="方正小标宋简体"/>
          <w:kern w:val="0"/>
          <w:sz w:val="44"/>
          <w:szCs w:val="44"/>
        </w:rPr>
        <w:t>水利宣传及采编等经费</w:t>
      </w:r>
      <w:r>
        <w:rPr>
          <w:rFonts w:eastAsia="方正小标宋简体"/>
          <w:kern w:val="0"/>
          <w:sz w:val="44"/>
          <w:szCs w:val="44"/>
          <w:lang w:val="zh-CN"/>
        </w:rPr>
        <w:t>”</w:t>
      </w:r>
    </w:p>
    <w:p>
      <w:pPr>
        <w:spacing w:line="600" w:lineRule="exact"/>
        <w:jc w:val="center"/>
        <w:rPr>
          <w:lang w:val="zh-CN"/>
        </w:rPr>
      </w:pPr>
      <w:r>
        <w:rPr>
          <w:rFonts w:eastAsia="方正小标宋简体"/>
          <w:kern w:val="0"/>
          <w:sz w:val="44"/>
          <w:szCs w:val="44"/>
        </w:rPr>
        <w:t>项目</w:t>
      </w:r>
      <w:r>
        <w:rPr>
          <w:rFonts w:eastAsia="方正小标宋简体"/>
          <w:kern w:val="0"/>
          <w:sz w:val="44"/>
          <w:szCs w:val="44"/>
          <w:lang w:val="zh-CN"/>
        </w:rPr>
        <w:t>支出绩效自评报告</w:t>
      </w:r>
    </w:p>
    <w:p>
      <w:pPr>
        <w:adjustRightInd w:val="0"/>
        <w:snapToGrid w:val="0"/>
        <w:spacing w:line="600" w:lineRule="exact"/>
        <w:ind w:firstLine="720"/>
        <w:rPr>
          <w:rFonts w:eastAsia="黑体"/>
          <w:sz w:val="32"/>
          <w:szCs w:val="32"/>
        </w:rPr>
      </w:pPr>
    </w:p>
    <w:p>
      <w:pPr>
        <w:adjustRightInd w:val="0"/>
        <w:snapToGrid w:val="0"/>
        <w:spacing w:line="600" w:lineRule="exact"/>
        <w:ind w:firstLine="720"/>
        <w:rPr>
          <w:rFonts w:eastAsia="黑体"/>
          <w:sz w:val="32"/>
          <w:szCs w:val="32"/>
          <w:lang w:val="zh-CN"/>
        </w:rPr>
      </w:pPr>
      <w:r>
        <w:rPr>
          <w:rFonts w:eastAsia="黑体"/>
          <w:sz w:val="32"/>
          <w:szCs w:val="32"/>
        </w:rPr>
        <w:t>一、</w:t>
      </w:r>
      <w:r>
        <w:rPr>
          <w:rFonts w:eastAsia="黑体"/>
          <w:sz w:val="32"/>
          <w:szCs w:val="32"/>
          <w:lang w:val="zh-CN"/>
        </w:rPr>
        <w:t>项目概况</w:t>
      </w:r>
    </w:p>
    <w:p>
      <w:pPr>
        <w:adjustRightInd w:val="0"/>
        <w:snapToGrid w:val="0"/>
        <w:spacing w:line="600" w:lineRule="exact"/>
        <w:ind w:firstLine="640" w:firstLineChars="200"/>
        <w:rPr>
          <w:rFonts w:eastAsia="仿宋"/>
          <w:sz w:val="32"/>
          <w:szCs w:val="32"/>
        </w:rPr>
      </w:pPr>
      <w:r>
        <w:rPr>
          <w:rFonts w:eastAsia="楷体"/>
          <w:bCs/>
          <w:sz w:val="32"/>
          <w:szCs w:val="32"/>
          <w:lang w:val="zh-CN"/>
        </w:rPr>
        <w:t>（</w:t>
      </w:r>
      <w:r>
        <w:rPr>
          <w:rFonts w:eastAsia="楷体"/>
          <w:bCs/>
          <w:sz w:val="32"/>
          <w:szCs w:val="32"/>
        </w:rPr>
        <w:t>一</w:t>
      </w:r>
      <w:r>
        <w:rPr>
          <w:rFonts w:eastAsia="楷体"/>
          <w:bCs/>
          <w:sz w:val="32"/>
          <w:szCs w:val="32"/>
          <w:lang w:val="zh-CN"/>
        </w:rPr>
        <w:t>）项目资金申报及批复情况。</w:t>
      </w:r>
      <w:r>
        <w:rPr>
          <w:rFonts w:eastAsia="仿宋"/>
          <w:sz w:val="32"/>
          <w:szCs w:val="32"/>
        </w:rPr>
        <w:t xml:space="preserve"> </w:t>
      </w:r>
    </w:p>
    <w:p>
      <w:pPr>
        <w:pStyle w:val="2"/>
        <w:spacing w:before="93" w:line="600" w:lineRule="exact"/>
        <w:ind w:firstLine="640"/>
        <w:rPr>
          <w:rFonts w:ascii="Times New Roman" w:eastAsia="仿宋"/>
          <w:sz w:val="32"/>
          <w:szCs w:val="32"/>
        </w:rPr>
      </w:pPr>
      <w:r>
        <w:rPr>
          <w:rFonts w:ascii="Times New Roman" w:eastAsia="仿宋"/>
          <w:sz w:val="32"/>
          <w:szCs w:val="32"/>
        </w:rPr>
        <w:t>“水利宣传及采编等经费”该项目2020年预算申报资金</w:t>
      </w:r>
      <w:r>
        <w:rPr>
          <w:rFonts w:ascii="Times New Roman" w:eastAsia="仿宋"/>
          <w:color w:val="000000"/>
          <w:sz w:val="32"/>
          <w:szCs w:val="32"/>
        </w:rPr>
        <w:t>22</w:t>
      </w:r>
      <w:r>
        <w:rPr>
          <w:rFonts w:ascii="Times New Roman" w:eastAsia="仿宋"/>
          <w:sz w:val="32"/>
          <w:szCs w:val="32"/>
        </w:rPr>
        <w:t>万元，我局严格根据《四川省财政厅关于编制省级部门</w:t>
      </w:r>
      <w:r>
        <w:rPr>
          <w:rFonts w:ascii="Times New Roman" w:eastAsia="仿宋"/>
          <w:color w:val="000000"/>
          <w:sz w:val="32"/>
          <w:szCs w:val="32"/>
        </w:rPr>
        <w:t>2020-2022</w:t>
      </w:r>
      <w:r>
        <w:rPr>
          <w:rFonts w:ascii="Times New Roman" w:eastAsia="仿宋"/>
          <w:sz w:val="32"/>
          <w:szCs w:val="32"/>
        </w:rPr>
        <w:t>年支出规划和</w:t>
      </w:r>
      <w:r>
        <w:rPr>
          <w:rFonts w:ascii="Times New Roman" w:eastAsia="仿宋"/>
          <w:color w:val="000000"/>
          <w:sz w:val="32"/>
          <w:szCs w:val="32"/>
        </w:rPr>
        <w:t>2020</w:t>
      </w:r>
      <w:r>
        <w:rPr>
          <w:rFonts w:ascii="Times New Roman" w:eastAsia="仿宋"/>
          <w:sz w:val="32"/>
          <w:szCs w:val="32"/>
        </w:rPr>
        <w:t>年部门预算的通知》（川财预</w:t>
      </w:r>
      <w:r>
        <w:rPr>
          <w:rFonts w:ascii="Times New Roman" w:eastAsia="仿宋"/>
          <w:color w:val="000000"/>
          <w:sz w:val="32"/>
          <w:szCs w:val="32"/>
        </w:rPr>
        <w:t>〔2019〕93号</w:t>
      </w:r>
      <w:r>
        <w:rPr>
          <w:rFonts w:ascii="Times New Roman" w:eastAsia="仿宋"/>
          <w:sz w:val="32"/>
          <w:szCs w:val="32"/>
        </w:rPr>
        <w:t>）有关规定，并基于本单位工作职能和事业发展需要编制相关预算。</w:t>
      </w:r>
    </w:p>
    <w:p>
      <w:pPr>
        <w:pStyle w:val="2"/>
        <w:spacing w:before="93" w:line="600" w:lineRule="exact"/>
        <w:ind w:firstLine="640" w:firstLineChars="200"/>
        <w:rPr>
          <w:rFonts w:ascii="Times New Roman" w:eastAsia="仿宋"/>
          <w:color w:val="000000"/>
          <w:sz w:val="32"/>
          <w:szCs w:val="32"/>
          <w:lang w:val="en"/>
        </w:rPr>
      </w:pPr>
      <w:r>
        <w:rPr>
          <w:rFonts w:ascii="Times New Roman" w:eastAsia="仿宋"/>
          <w:sz w:val="32"/>
          <w:szCs w:val="32"/>
        </w:rPr>
        <w:t>财政厅实际于2020年6月批复资金</w:t>
      </w:r>
      <w:r>
        <w:rPr>
          <w:rFonts w:ascii="Times New Roman" w:eastAsia="仿宋"/>
          <w:color w:val="000000"/>
          <w:sz w:val="32"/>
          <w:szCs w:val="32"/>
        </w:rPr>
        <w:t>22</w:t>
      </w:r>
      <w:r>
        <w:rPr>
          <w:rFonts w:ascii="Times New Roman" w:eastAsia="仿宋"/>
          <w:sz w:val="32"/>
          <w:szCs w:val="32"/>
        </w:rPr>
        <w:t>万元，详</w:t>
      </w:r>
      <w:r>
        <w:rPr>
          <w:rFonts w:hint="eastAsia" w:ascii="Times New Roman" w:eastAsia="仿宋"/>
          <w:sz w:val="32"/>
          <w:szCs w:val="32"/>
        </w:rPr>
        <w:t>见</w:t>
      </w:r>
      <w:r>
        <w:rPr>
          <w:rFonts w:ascii="Times New Roman" w:eastAsia="仿宋"/>
          <w:sz w:val="32"/>
          <w:szCs w:val="32"/>
        </w:rPr>
        <w:t>《四川省财政厅关于批复省级2020年部门预算的通知》（川财农</w:t>
      </w:r>
      <w:r>
        <w:rPr>
          <w:rFonts w:ascii="Times New Roman" w:eastAsia="仿宋"/>
          <w:color w:val="000000"/>
          <w:sz w:val="32"/>
          <w:szCs w:val="32"/>
        </w:rPr>
        <w:t>〔2020〕56号</w:t>
      </w:r>
      <w:r>
        <w:rPr>
          <w:rFonts w:ascii="Times New Roman" w:eastAsia="仿宋"/>
          <w:color w:val="000000"/>
          <w:sz w:val="32"/>
          <w:szCs w:val="32"/>
          <w:lang w:val="en"/>
        </w:rPr>
        <w:t>）</w:t>
      </w:r>
      <w:r>
        <w:rPr>
          <w:rFonts w:ascii="Times New Roman" w:eastAsia="仿宋"/>
          <w:color w:val="000000"/>
          <w:sz w:val="32"/>
          <w:szCs w:val="32"/>
        </w:rPr>
        <w:t>和《四川省水利厅关于批复2020年直属预算单位部门预算的通知》</w:t>
      </w:r>
      <w:r>
        <w:rPr>
          <w:rFonts w:ascii="Times New Roman" w:eastAsia="仿宋"/>
          <w:sz w:val="32"/>
          <w:szCs w:val="32"/>
        </w:rPr>
        <w:t>（川水函</w:t>
      </w:r>
      <w:r>
        <w:rPr>
          <w:rFonts w:ascii="Times New Roman" w:eastAsia="仿宋"/>
          <w:color w:val="000000"/>
          <w:sz w:val="32"/>
          <w:szCs w:val="32"/>
        </w:rPr>
        <w:t>〔2020〕778号</w:t>
      </w:r>
      <w:r>
        <w:rPr>
          <w:rFonts w:ascii="Times New Roman" w:eastAsia="仿宋"/>
          <w:color w:val="000000"/>
          <w:sz w:val="32"/>
          <w:szCs w:val="32"/>
          <w:lang w:val="en"/>
        </w:rPr>
        <w:t>）。</w:t>
      </w:r>
    </w:p>
    <w:p>
      <w:pPr>
        <w:pStyle w:val="2"/>
        <w:spacing w:before="93" w:line="600" w:lineRule="exact"/>
        <w:ind w:firstLine="640" w:firstLineChars="200"/>
        <w:rPr>
          <w:rFonts w:ascii="Times New Roman" w:eastAsia="仿宋"/>
          <w:b/>
          <w:bCs/>
          <w:sz w:val="32"/>
          <w:szCs w:val="32"/>
        </w:rPr>
      </w:pPr>
      <w:r>
        <w:rPr>
          <w:rFonts w:ascii="Times New Roman" w:eastAsia="仿宋"/>
          <w:color w:val="000000"/>
          <w:sz w:val="32"/>
          <w:szCs w:val="32"/>
        </w:rPr>
        <w:t>在实际执行过程中，基于我局实际工作需要，在严格履行预算调整相关必要流程之后，调出5.54万元至“物业管理费”项目，详见《四川省财政厅关于同意省水利厅调整2020年部门预算部分支出预算的通知》</w:t>
      </w:r>
      <w:r>
        <w:rPr>
          <w:rFonts w:ascii="Times New Roman" w:eastAsia="仿宋"/>
          <w:sz w:val="32"/>
          <w:szCs w:val="32"/>
        </w:rPr>
        <w:t>（川财农</w:t>
      </w:r>
      <w:r>
        <w:rPr>
          <w:rFonts w:ascii="Times New Roman" w:eastAsia="仿宋"/>
          <w:color w:val="000000"/>
          <w:sz w:val="32"/>
          <w:szCs w:val="32"/>
        </w:rPr>
        <w:t>〔2020〕138号</w:t>
      </w:r>
      <w:r>
        <w:rPr>
          <w:rFonts w:ascii="Times New Roman" w:eastAsia="仿宋"/>
          <w:color w:val="000000"/>
          <w:sz w:val="32"/>
          <w:szCs w:val="32"/>
          <w:lang w:val="en"/>
        </w:rPr>
        <w:t>）。</w:t>
      </w:r>
    </w:p>
    <w:p>
      <w:pPr>
        <w:adjustRightInd w:val="0"/>
        <w:snapToGrid w:val="0"/>
        <w:spacing w:line="600" w:lineRule="exact"/>
        <w:ind w:firstLine="640" w:firstLineChars="200"/>
        <w:rPr>
          <w:rFonts w:eastAsia="楷体"/>
          <w:bCs/>
          <w:sz w:val="32"/>
          <w:szCs w:val="32"/>
        </w:rPr>
      </w:pPr>
      <w:r>
        <w:rPr>
          <w:rFonts w:eastAsia="楷体"/>
          <w:bCs/>
          <w:sz w:val="32"/>
          <w:szCs w:val="32"/>
          <w:lang w:val="zh-CN"/>
        </w:rPr>
        <w:t>（二）项目绩效目标。</w:t>
      </w:r>
      <w:r>
        <w:rPr>
          <w:rFonts w:eastAsia="楷体"/>
          <w:bCs/>
          <w:sz w:val="32"/>
          <w:szCs w:val="32"/>
        </w:rPr>
        <w:t xml:space="preserve"> </w:t>
      </w:r>
    </w:p>
    <w:p>
      <w:pPr>
        <w:adjustRightInd w:val="0"/>
        <w:snapToGrid w:val="0"/>
        <w:spacing w:line="600" w:lineRule="exact"/>
        <w:ind w:firstLine="640" w:firstLineChars="200"/>
        <w:rPr>
          <w:rFonts w:eastAsia="仿宋"/>
          <w:color w:val="000000"/>
          <w:kern w:val="0"/>
          <w:sz w:val="32"/>
          <w:szCs w:val="32"/>
        </w:rPr>
      </w:pPr>
      <w:r>
        <w:rPr>
          <w:rFonts w:eastAsia="仿宋"/>
          <w:color w:val="000000"/>
          <w:kern w:val="0"/>
          <w:sz w:val="32"/>
          <w:szCs w:val="32"/>
        </w:rPr>
        <w:t>该项目资金主要用于明确相关项目责任人责任，加强社会监督；宣传水利相关政策和水利成效，展现我省农村水利事业发展的风貌等工作。</w:t>
      </w:r>
    </w:p>
    <w:p>
      <w:pPr>
        <w:adjustRightInd w:val="0"/>
        <w:snapToGrid w:val="0"/>
        <w:spacing w:line="600" w:lineRule="exact"/>
        <w:ind w:firstLine="720"/>
        <w:rPr>
          <w:rFonts w:eastAsia="仿宋"/>
          <w:sz w:val="32"/>
          <w:szCs w:val="32"/>
        </w:rPr>
      </w:pPr>
      <w:r>
        <w:rPr>
          <w:rFonts w:eastAsia="仿宋"/>
          <w:color w:val="000000"/>
          <w:kern w:val="0"/>
          <w:sz w:val="32"/>
          <w:szCs w:val="32"/>
        </w:rPr>
        <w:t>计划实现的绩效目标：</w:t>
      </w:r>
      <w:r>
        <w:rPr>
          <w:rFonts w:eastAsia="仿宋"/>
          <w:sz w:val="32"/>
          <w:szCs w:val="32"/>
        </w:rPr>
        <w:t>开展全省大中型水库安全度汛及安全管理责任人公示1次；开展安全生产宣传1次及以上。</w:t>
      </w:r>
    </w:p>
    <w:p>
      <w:pPr>
        <w:adjustRightInd w:val="0"/>
        <w:snapToGrid w:val="0"/>
        <w:spacing w:line="600" w:lineRule="exact"/>
        <w:ind w:firstLine="640" w:firstLineChars="200"/>
        <w:rPr>
          <w:rFonts w:eastAsia="楷体"/>
          <w:bCs/>
          <w:sz w:val="32"/>
          <w:szCs w:val="32"/>
          <w:lang w:val="zh-CN"/>
        </w:rPr>
      </w:pPr>
      <w:r>
        <w:rPr>
          <w:rFonts w:eastAsia="楷体"/>
          <w:bCs/>
          <w:sz w:val="32"/>
          <w:szCs w:val="32"/>
          <w:lang w:val="zh-CN"/>
        </w:rPr>
        <w:t>（</w:t>
      </w:r>
      <w:r>
        <w:rPr>
          <w:rFonts w:eastAsia="楷体"/>
          <w:bCs/>
          <w:sz w:val="32"/>
          <w:szCs w:val="32"/>
        </w:rPr>
        <w:t>三</w:t>
      </w:r>
      <w:r>
        <w:rPr>
          <w:rFonts w:eastAsia="楷体"/>
          <w:bCs/>
          <w:sz w:val="32"/>
          <w:szCs w:val="32"/>
          <w:lang w:val="zh-CN"/>
        </w:rPr>
        <w:t>）项目资金申报相符性。</w:t>
      </w:r>
    </w:p>
    <w:p>
      <w:pPr>
        <w:adjustRightInd w:val="0"/>
        <w:snapToGrid w:val="0"/>
        <w:spacing w:line="600" w:lineRule="exact"/>
        <w:ind w:firstLine="640" w:firstLineChars="200"/>
        <w:rPr>
          <w:rFonts w:eastAsia="仿宋"/>
          <w:sz w:val="32"/>
          <w:szCs w:val="32"/>
        </w:rPr>
      </w:pPr>
      <w:r>
        <w:rPr>
          <w:rFonts w:eastAsia="仿宋"/>
          <w:sz w:val="32"/>
          <w:szCs w:val="32"/>
        </w:rPr>
        <w:t>该项目</w:t>
      </w:r>
      <w:r>
        <w:rPr>
          <w:rFonts w:eastAsia="仿宋"/>
          <w:sz w:val="32"/>
          <w:szCs w:val="32"/>
          <w:lang w:val="zh-CN"/>
        </w:rPr>
        <w:t>申报内容与具体实施内容相符，申报目标合理可行。</w:t>
      </w:r>
    </w:p>
    <w:p>
      <w:pPr>
        <w:adjustRightInd w:val="0"/>
        <w:snapToGrid w:val="0"/>
        <w:spacing w:line="600" w:lineRule="exact"/>
        <w:ind w:firstLine="720"/>
        <w:rPr>
          <w:rFonts w:eastAsia="黑体"/>
          <w:sz w:val="32"/>
          <w:szCs w:val="32"/>
        </w:rPr>
      </w:pPr>
      <w:r>
        <w:rPr>
          <w:rFonts w:eastAsia="黑体"/>
          <w:sz w:val="32"/>
          <w:szCs w:val="32"/>
        </w:rPr>
        <w:t>二、项目实施及管理情况</w:t>
      </w:r>
    </w:p>
    <w:p>
      <w:pPr>
        <w:adjustRightInd w:val="0"/>
        <w:snapToGrid w:val="0"/>
        <w:spacing w:line="600" w:lineRule="exact"/>
        <w:ind w:firstLine="640" w:firstLineChars="200"/>
        <w:rPr>
          <w:rFonts w:eastAsia="楷体"/>
          <w:bCs/>
          <w:sz w:val="32"/>
          <w:szCs w:val="32"/>
          <w:lang w:val="zh-CN"/>
        </w:rPr>
      </w:pPr>
      <w:r>
        <w:rPr>
          <w:rFonts w:eastAsia="楷体"/>
          <w:bCs/>
          <w:sz w:val="32"/>
          <w:szCs w:val="32"/>
          <w:lang w:val="zh-CN"/>
        </w:rPr>
        <w:tab/>
      </w:r>
      <w:r>
        <w:rPr>
          <w:rFonts w:eastAsia="楷体"/>
          <w:bCs/>
          <w:sz w:val="32"/>
          <w:szCs w:val="32"/>
          <w:lang w:val="zh-CN"/>
        </w:rPr>
        <w:t>（一）资金计划、到位及使用情况。</w:t>
      </w:r>
    </w:p>
    <w:p>
      <w:pPr>
        <w:adjustRightInd w:val="0"/>
        <w:snapToGrid w:val="0"/>
        <w:spacing w:line="600" w:lineRule="exact"/>
        <w:ind w:firstLine="720"/>
        <w:rPr>
          <w:rFonts w:eastAsia="仿宋"/>
          <w:sz w:val="32"/>
          <w:szCs w:val="32"/>
          <w:lang w:val="zh-CN"/>
        </w:rPr>
      </w:pPr>
      <w:r>
        <w:rPr>
          <w:rFonts w:eastAsia="仿宋"/>
          <w:sz w:val="32"/>
          <w:szCs w:val="32"/>
          <w:lang w:val="zh-CN"/>
        </w:rPr>
        <w:t>1．资金计划及到位。</w:t>
      </w:r>
      <w:r>
        <w:rPr>
          <w:rFonts w:eastAsia="仿宋"/>
          <w:sz w:val="32"/>
          <w:szCs w:val="32"/>
        </w:rPr>
        <w:t xml:space="preserve"> </w:t>
      </w:r>
    </w:p>
    <w:p>
      <w:pPr>
        <w:pStyle w:val="2"/>
        <w:spacing w:before="93" w:line="600" w:lineRule="exact"/>
        <w:rPr>
          <w:rFonts w:ascii="Times New Roman" w:eastAsia="仿宋"/>
          <w:sz w:val="32"/>
          <w:szCs w:val="32"/>
        </w:rPr>
      </w:pPr>
      <w:r>
        <w:rPr>
          <w:rFonts w:ascii="Times New Roman" w:eastAsia="仿宋"/>
          <w:sz w:val="32"/>
          <w:szCs w:val="32"/>
        </w:rPr>
        <w:t xml:space="preserve">    该项目预算资金22万元全部属于财政拨款，款项于2020年6月一次性到位。</w:t>
      </w:r>
    </w:p>
    <w:p>
      <w:pPr>
        <w:adjustRightInd w:val="0"/>
        <w:snapToGrid w:val="0"/>
        <w:spacing w:line="600" w:lineRule="exact"/>
        <w:ind w:left="720"/>
        <w:rPr>
          <w:rFonts w:eastAsia="仿宋"/>
          <w:sz w:val="32"/>
          <w:szCs w:val="32"/>
        </w:rPr>
      </w:pPr>
      <w:r>
        <w:rPr>
          <w:rFonts w:eastAsia="仿宋"/>
          <w:sz w:val="32"/>
          <w:szCs w:val="32"/>
        </w:rPr>
        <w:t xml:space="preserve">2. </w:t>
      </w:r>
      <w:r>
        <w:rPr>
          <w:rFonts w:eastAsia="仿宋"/>
          <w:sz w:val="32"/>
          <w:szCs w:val="32"/>
          <w:lang w:val="zh-CN"/>
        </w:rPr>
        <w:t>资金使用。</w:t>
      </w:r>
      <w:r>
        <w:rPr>
          <w:rFonts w:eastAsia="仿宋"/>
          <w:sz w:val="32"/>
          <w:szCs w:val="32"/>
        </w:rPr>
        <w:t xml:space="preserve"> </w:t>
      </w:r>
    </w:p>
    <w:p>
      <w:pPr>
        <w:pStyle w:val="2"/>
        <w:spacing w:before="93" w:line="600" w:lineRule="exact"/>
        <w:rPr>
          <w:rFonts w:ascii="Times New Roman" w:eastAsia="仿宋"/>
          <w:sz w:val="32"/>
          <w:szCs w:val="32"/>
        </w:rPr>
      </w:pPr>
      <w:r>
        <w:rPr>
          <w:rFonts w:ascii="Times New Roman" w:eastAsia="仿宋"/>
          <w:sz w:val="32"/>
          <w:szCs w:val="32"/>
        </w:rPr>
        <w:t xml:space="preserve">  </w:t>
      </w:r>
      <w:r>
        <w:rPr>
          <w:rFonts w:ascii="Times New Roman" w:eastAsia="仿宋"/>
          <w:kern w:val="2"/>
          <w:sz w:val="32"/>
          <w:szCs w:val="32"/>
        </w:rPr>
        <w:t xml:space="preserve">  该项目于2020年11月履行预算调整流程后调整至“物业管理费”5.54万元，截至2020年末实际支出16.48万元。资金开支范围包括开展全省大中型水库安全度汛及安全管理责任人公示、安全生产宣传等</w:t>
      </w:r>
      <w:r>
        <w:rPr>
          <w:rFonts w:ascii="Times New Roman" w:eastAsia="仿宋"/>
          <w:sz w:val="32"/>
          <w:szCs w:val="32"/>
        </w:rPr>
        <w:t>。相关资金支付与预算相符且合规合法。</w:t>
      </w:r>
    </w:p>
    <w:p>
      <w:pPr>
        <w:adjustRightInd w:val="0"/>
        <w:snapToGrid w:val="0"/>
        <w:spacing w:line="600" w:lineRule="exact"/>
        <w:ind w:firstLine="640" w:firstLineChars="200"/>
        <w:rPr>
          <w:rFonts w:eastAsia="楷体"/>
          <w:bCs/>
          <w:sz w:val="32"/>
          <w:szCs w:val="32"/>
          <w:lang w:val="zh-CN"/>
        </w:rPr>
      </w:pPr>
      <w:r>
        <w:rPr>
          <w:rFonts w:eastAsia="楷体"/>
          <w:bCs/>
          <w:sz w:val="32"/>
          <w:szCs w:val="32"/>
          <w:lang w:val="zh-CN"/>
        </w:rPr>
        <w:t>（二）项目财务管理情况。</w:t>
      </w:r>
    </w:p>
    <w:p>
      <w:pPr>
        <w:pStyle w:val="2"/>
        <w:spacing w:before="93" w:line="600" w:lineRule="exact"/>
        <w:ind w:firstLine="640"/>
        <w:rPr>
          <w:rFonts w:ascii="Times New Roman" w:eastAsia="仿宋"/>
          <w:sz w:val="32"/>
          <w:szCs w:val="32"/>
        </w:rPr>
      </w:pPr>
      <w:r>
        <w:rPr>
          <w:rFonts w:ascii="Times New Roman" w:eastAsia="仿宋"/>
          <w:sz w:val="32"/>
          <w:szCs w:val="32"/>
        </w:rPr>
        <w:t xml:space="preserve"> 我单位适用政府会计准则制度，该项目相关支出严格按照《政府收支分类科目》中“部门预算支出经济分类科目”的款级科目进行明细核算，同时在“项目支出”明细科目下单独设立“水利宣传及采编等经费”进行明细核算，财务处理及时，会计核算规范。</w:t>
      </w:r>
    </w:p>
    <w:p>
      <w:pPr>
        <w:adjustRightInd w:val="0"/>
        <w:snapToGrid w:val="0"/>
        <w:spacing w:line="600" w:lineRule="exact"/>
        <w:ind w:firstLine="640" w:firstLineChars="200"/>
        <w:rPr>
          <w:rFonts w:eastAsia="楷体"/>
          <w:bCs/>
          <w:sz w:val="32"/>
          <w:szCs w:val="32"/>
          <w:lang w:val="zh-CN"/>
        </w:rPr>
      </w:pPr>
      <w:r>
        <w:rPr>
          <w:rFonts w:eastAsia="楷体"/>
          <w:bCs/>
          <w:sz w:val="32"/>
          <w:szCs w:val="32"/>
          <w:lang w:val="zh-CN"/>
        </w:rPr>
        <w:t>（三）项目组织实施情况。</w:t>
      </w:r>
    </w:p>
    <w:p>
      <w:pPr>
        <w:pStyle w:val="2"/>
        <w:spacing w:before="93" w:line="600" w:lineRule="exact"/>
        <w:ind w:firstLine="630"/>
        <w:rPr>
          <w:rFonts w:ascii="Times New Roman" w:eastAsia="仿宋"/>
          <w:kern w:val="2"/>
          <w:sz w:val="32"/>
          <w:szCs w:val="32"/>
        </w:rPr>
      </w:pPr>
      <w:r>
        <w:rPr>
          <w:rFonts w:ascii="Times New Roman" w:eastAsia="仿宋"/>
          <w:kern w:val="2"/>
          <w:sz w:val="32"/>
          <w:szCs w:val="32"/>
        </w:rPr>
        <w:t>该项目主要由负责水库安全度汛的业务科室负责实施。具体而言：1.根据广告发布合同书相关约定，我局委托四川日报报业集团于2020年4月29日在四川日报发布全省已建大中型水库安全管理和度汛责任人名单通告，广告规格为1.5个版，共刊登1次。2.我局于2020年6月19日上午开展“安全生产宣传日”宣传咨询活动，通过发放宣传材料、悬挂横幅标语等形式宣传农村水利安全生产政策、应急知识、防灾减灾救灾常识等。</w:t>
      </w:r>
    </w:p>
    <w:p>
      <w:pPr>
        <w:adjustRightInd w:val="0"/>
        <w:snapToGrid w:val="0"/>
        <w:spacing w:line="600" w:lineRule="exact"/>
        <w:ind w:firstLine="720"/>
        <w:rPr>
          <w:rFonts w:eastAsia="黑体"/>
          <w:sz w:val="32"/>
          <w:szCs w:val="32"/>
          <w:lang w:val="zh-CN"/>
        </w:rPr>
      </w:pPr>
      <w:r>
        <w:rPr>
          <w:rFonts w:eastAsia="黑体"/>
          <w:sz w:val="32"/>
          <w:szCs w:val="32"/>
        </w:rPr>
        <w:t xml:space="preserve"> 三、项目绩效情况</w:t>
      </w:r>
      <w:r>
        <w:rPr>
          <w:rFonts w:eastAsia="黑体"/>
          <w:sz w:val="32"/>
          <w:szCs w:val="32"/>
          <w:lang w:val="zh-CN"/>
        </w:rPr>
        <w:tab/>
      </w:r>
    </w:p>
    <w:p>
      <w:pPr>
        <w:adjustRightInd w:val="0"/>
        <w:snapToGrid w:val="0"/>
        <w:spacing w:line="600" w:lineRule="exact"/>
        <w:ind w:firstLine="640" w:firstLineChars="200"/>
        <w:rPr>
          <w:rFonts w:eastAsia="楷体"/>
          <w:bCs/>
          <w:sz w:val="32"/>
          <w:szCs w:val="32"/>
          <w:lang w:val="zh-CN"/>
        </w:rPr>
      </w:pPr>
      <w:r>
        <w:rPr>
          <w:rFonts w:eastAsia="楷体"/>
          <w:bCs/>
          <w:sz w:val="32"/>
          <w:szCs w:val="32"/>
          <w:lang w:val="zh-CN"/>
        </w:rPr>
        <w:t>（一）项目完成情况。</w:t>
      </w:r>
    </w:p>
    <w:p>
      <w:pPr>
        <w:adjustRightInd w:val="0"/>
        <w:snapToGrid w:val="0"/>
        <w:spacing w:line="600" w:lineRule="exact"/>
        <w:ind w:firstLine="640" w:firstLineChars="200"/>
        <w:rPr>
          <w:rFonts w:eastAsia="仿宋"/>
          <w:sz w:val="32"/>
          <w:szCs w:val="32"/>
        </w:rPr>
      </w:pPr>
      <w:r>
        <w:rPr>
          <w:rFonts w:eastAsia="仿宋"/>
          <w:sz w:val="32"/>
          <w:szCs w:val="32"/>
        </w:rPr>
        <w:t>截至2020年12月底，我局完成全省大中型水库安全度汛及安全管理责任人公示、安全生产宣传各1次。</w:t>
      </w:r>
    </w:p>
    <w:p>
      <w:pPr>
        <w:adjustRightInd w:val="0"/>
        <w:snapToGrid w:val="0"/>
        <w:spacing w:line="600" w:lineRule="exact"/>
        <w:ind w:firstLine="640" w:firstLineChars="200"/>
        <w:rPr>
          <w:rFonts w:eastAsia="楷体"/>
          <w:bCs/>
          <w:sz w:val="32"/>
          <w:szCs w:val="32"/>
        </w:rPr>
      </w:pPr>
      <w:r>
        <w:rPr>
          <w:rFonts w:eastAsia="楷体"/>
          <w:bCs/>
          <w:sz w:val="32"/>
          <w:szCs w:val="32"/>
          <w:lang w:val="zh-CN"/>
        </w:rPr>
        <w:t>（</w:t>
      </w:r>
      <w:r>
        <w:rPr>
          <w:rFonts w:eastAsia="楷体"/>
          <w:bCs/>
          <w:sz w:val="32"/>
          <w:szCs w:val="32"/>
        </w:rPr>
        <w:t>二</w:t>
      </w:r>
      <w:r>
        <w:rPr>
          <w:rFonts w:eastAsia="楷体"/>
          <w:bCs/>
          <w:sz w:val="32"/>
          <w:szCs w:val="32"/>
          <w:lang w:val="zh-CN"/>
        </w:rPr>
        <w:t>）项目效益情况。</w:t>
      </w:r>
      <w:r>
        <w:rPr>
          <w:rFonts w:eastAsia="楷体"/>
          <w:bCs/>
          <w:sz w:val="32"/>
          <w:szCs w:val="32"/>
        </w:rPr>
        <w:t xml:space="preserve"> </w:t>
      </w:r>
    </w:p>
    <w:p>
      <w:pPr>
        <w:pStyle w:val="2"/>
        <w:spacing w:before="93" w:line="600" w:lineRule="exact"/>
        <w:ind w:firstLine="640" w:firstLineChars="200"/>
        <w:rPr>
          <w:rFonts w:ascii="Times New Roman" w:eastAsia="仿宋"/>
          <w:sz w:val="32"/>
          <w:szCs w:val="32"/>
        </w:rPr>
      </w:pPr>
      <w:r>
        <w:rPr>
          <w:rFonts w:ascii="Times New Roman" w:eastAsia="仿宋"/>
          <w:color w:val="000000"/>
          <w:sz w:val="32"/>
          <w:szCs w:val="32"/>
        </w:rPr>
        <w:t>通过开展</w:t>
      </w:r>
      <w:r>
        <w:rPr>
          <w:rFonts w:ascii="Times New Roman" w:eastAsia="仿宋"/>
          <w:sz w:val="32"/>
          <w:szCs w:val="32"/>
        </w:rPr>
        <w:t>全省大中型水库安全度汛及安全管理责任人公示、安全生产宣传等工作，不仅</w:t>
      </w:r>
      <w:r>
        <w:rPr>
          <w:rFonts w:ascii="Times New Roman" w:eastAsia="仿宋"/>
          <w:color w:val="000000"/>
          <w:sz w:val="32"/>
          <w:szCs w:val="32"/>
        </w:rPr>
        <w:t>加强了社会监督，营造了农村水利安全生产全民参与，人人关注安全的浓厚氛围，而且落实了相关责任人安全责任，为防范遏制重特大水利安全生产事故发生筑牢思想基础，促进安全生产水平提升和全省农村水利安全生产形势稳定向好。</w:t>
      </w:r>
    </w:p>
    <w:p>
      <w:pPr>
        <w:adjustRightInd w:val="0"/>
        <w:snapToGrid w:val="0"/>
        <w:spacing w:line="600" w:lineRule="exact"/>
        <w:ind w:firstLine="720"/>
        <w:rPr>
          <w:rFonts w:eastAsia="黑体"/>
          <w:sz w:val="32"/>
          <w:szCs w:val="32"/>
        </w:rPr>
      </w:pPr>
      <w:r>
        <w:rPr>
          <w:rFonts w:eastAsia="黑体"/>
          <w:sz w:val="32"/>
          <w:szCs w:val="32"/>
        </w:rPr>
        <w:t>四、问题及建议</w:t>
      </w:r>
    </w:p>
    <w:p>
      <w:pPr>
        <w:pStyle w:val="2"/>
        <w:spacing w:before="93" w:line="600" w:lineRule="exact"/>
        <w:rPr>
          <w:rFonts w:ascii="Times New Roman" w:eastAsia="仿宋"/>
          <w:color w:val="000000"/>
          <w:sz w:val="32"/>
          <w:szCs w:val="32"/>
        </w:rPr>
      </w:pPr>
      <w:r>
        <w:rPr>
          <w:rFonts w:ascii="Times New Roman" w:eastAsia="仿宋"/>
          <w:b/>
          <w:sz w:val="32"/>
          <w:szCs w:val="32"/>
        </w:rPr>
        <w:t xml:space="preserve">  </w:t>
      </w:r>
      <w:r>
        <w:rPr>
          <w:rFonts w:ascii="Times New Roman" w:eastAsia="仿宋"/>
          <w:color w:val="000000"/>
          <w:sz w:val="32"/>
          <w:szCs w:val="32"/>
        </w:rPr>
        <w:t xml:space="preserve"> 无。</w:t>
      </w:r>
    </w:p>
    <w:p>
      <w:pPr>
        <w:spacing w:line="600" w:lineRule="exact"/>
        <w:jc w:val="center"/>
        <w:rPr>
          <w:rFonts w:eastAsia="方正小标宋简体"/>
          <w:kern w:val="0"/>
          <w:sz w:val="44"/>
          <w:szCs w:val="44"/>
          <w:lang w:val="zh-CN"/>
        </w:rPr>
      </w:pPr>
      <w:r>
        <w:rPr>
          <w:rFonts w:eastAsia="方正小标宋简体"/>
          <w:kern w:val="0"/>
          <w:sz w:val="44"/>
          <w:szCs w:val="44"/>
          <w:lang w:val="zh-CN"/>
        </w:rPr>
        <w:t>202</w:t>
      </w:r>
      <w:r>
        <w:rPr>
          <w:rFonts w:eastAsia="方正小标宋简体"/>
          <w:kern w:val="0"/>
          <w:sz w:val="44"/>
          <w:szCs w:val="44"/>
        </w:rPr>
        <w:t>0</w:t>
      </w:r>
      <w:r>
        <w:rPr>
          <w:rFonts w:eastAsia="方正小标宋简体"/>
          <w:kern w:val="0"/>
          <w:sz w:val="44"/>
          <w:szCs w:val="44"/>
          <w:lang w:val="zh-CN"/>
        </w:rPr>
        <w:t>年“</w:t>
      </w:r>
      <w:r>
        <w:rPr>
          <w:rFonts w:eastAsia="方正小标宋简体"/>
          <w:kern w:val="0"/>
          <w:sz w:val="44"/>
          <w:szCs w:val="44"/>
        </w:rPr>
        <w:t>防汛报汛费</w:t>
      </w:r>
      <w:r>
        <w:rPr>
          <w:rFonts w:eastAsia="方正小标宋简体"/>
          <w:kern w:val="0"/>
          <w:sz w:val="44"/>
          <w:szCs w:val="44"/>
          <w:lang w:val="zh-CN"/>
        </w:rPr>
        <w:t>”</w:t>
      </w:r>
      <w:r>
        <w:rPr>
          <w:rFonts w:eastAsia="方正小标宋简体"/>
          <w:kern w:val="0"/>
          <w:sz w:val="44"/>
          <w:szCs w:val="44"/>
        </w:rPr>
        <w:t>项目</w:t>
      </w:r>
      <w:r>
        <w:rPr>
          <w:rFonts w:eastAsia="方正小标宋简体"/>
          <w:kern w:val="0"/>
          <w:sz w:val="44"/>
          <w:szCs w:val="44"/>
          <w:lang w:val="zh-CN"/>
        </w:rPr>
        <w:t>支出</w:t>
      </w:r>
    </w:p>
    <w:p>
      <w:pPr>
        <w:spacing w:line="600" w:lineRule="exact"/>
        <w:jc w:val="center"/>
        <w:rPr>
          <w:rFonts w:eastAsia="方正小标宋简体"/>
          <w:kern w:val="0"/>
          <w:sz w:val="44"/>
          <w:szCs w:val="44"/>
          <w:lang w:val="zh-CN"/>
        </w:rPr>
      </w:pPr>
      <w:r>
        <w:rPr>
          <w:rFonts w:eastAsia="方正小标宋简体"/>
          <w:kern w:val="0"/>
          <w:sz w:val="44"/>
          <w:szCs w:val="44"/>
          <w:lang w:val="zh-CN"/>
        </w:rPr>
        <w:t>绩效自评报告</w:t>
      </w:r>
    </w:p>
    <w:p>
      <w:pPr>
        <w:spacing w:line="600" w:lineRule="exact"/>
        <w:ind w:firstLine="640"/>
        <w:jc w:val="center"/>
        <w:rPr>
          <w:sz w:val="32"/>
          <w:szCs w:val="32"/>
          <w:lang w:val="zh-CN"/>
        </w:rPr>
      </w:pPr>
    </w:p>
    <w:p>
      <w:pPr>
        <w:adjustRightInd w:val="0"/>
        <w:snapToGrid w:val="0"/>
        <w:spacing w:line="600" w:lineRule="exact"/>
        <w:ind w:firstLine="640" w:firstLineChars="200"/>
        <w:rPr>
          <w:rFonts w:eastAsia="黑体"/>
          <w:sz w:val="32"/>
          <w:szCs w:val="32"/>
          <w:lang w:val="zh-CN"/>
        </w:rPr>
      </w:pPr>
      <w:r>
        <w:rPr>
          <w:rFonts w:eastAsia="黑体"/>
          <w:sz w:val="32"/>
          <w:szCs w:val="32"/>
        </w:rPr>
        <w:t>一、</w:t>
      </w:r>
      <w:r>
        <w:rPr>
          <w:rFonts w:eastAsia="黑体"/>
          <w:sz w:val="32"/>
          <w:szCs w:val="32"/>
          <w:lang w:val="zh-CN"/>
        </w:rPr>
        <w:t>项目概况</w:t>
      </w:r>
    </w:p>
    <w:p>
      <w:pPr>
        <w:adjustRightInd w:val="0"/>
        <w:snapToGrid w:val="0"/>
        <w:spacing w:line="600" w:lineRule="exact"/>
        <w:ind w:firstLine="640" w:firstLineChars="200"/>
        <w:rPr>
          <w:rFonts w:eastAsia="楷体"/>
          <w:bCs/>
          <w:sz w:val="32"/>
          <w:szCs w:val="32"/>
          <w:lang w:val="zh-CN"/>
        </w:rPr>
      </w:pPr>
      <w:r>
        <w:rPr>
          <w:rFonts w:eastAsia="楷体"/>
          <w:bCs/>
          <w:sz w:val="32"/>
          <w:szCs w:val="32"/>
          <w:lang w:val="zh-CN"/>
        </w:rPr>
        <w:t>（一）项目资金申报及批复情况。</w:t>
      </w:r>
    </w:p>
    <w:p>
      <w:pPr>
        <w:pStyle w:val="2"/>
        <w:spacing w:before="93" w:line="600" w:lineRule="exact"/>
        <w:ind w:firstLine="640"/>
        <w:rPr>
          <w:rFonts w:ascii="Times New Roman" w:eastAsia="仿宋"/>
          <w:sz w:val="32"/>
          <w:szCs w:val="32"/>
        </w:rPr>
      </w:pPr>
      <w:r>
        <w:rPr>
          <w:rFonts w:ascii="Times New Roman" w:eastAsia="仿宋"/>
          <w:sz w:val="32"/>
          <w:szCs w:val="32"/>
        </w:rPr>
        <w:t>“防汛报汛费”项目2020年预算申报资金6万元，我局严格根据《四川省财政厅关于编制省级部门2020-2022年支出规划和2020年部门预算的通知》（川财预</w:t>
      </w:r>
      <w:r>
        <w:rPr>
          <w:rFonts w:ascii="Times New Roman" w:eastAsia="仿宋"/>
          <w:color w:val="000000"/>
          <w:sz w:val="32"/>
          <w:szCs w:val="32"/>
          <w:lang w:val="en"/>
        </w:rPr>
        <w:t>〔</w:t>
      </w:r>
      <w:r>
        <w:rPr>
          <w:rFonts w:ascii="Times New Roman" w:eastAsia="仿宋"/>
          <w:color w:val="000000"/>
          <w:sz w:val="32"/>
          <w:szCs w:val="32"/>
        </w:rPr>
        <w:t>2019</w:t>
      </w:r>
      <w:r>
        <w:rPr>
          <w:rFonts w:ascii="Times New Roman" w:eastAsia="仿宋"/>
          <w:color w:val="000000"/>
          <w:sz w:val="32"/>
          <w:szCs w:val="32"/>
          <w:lang w:val="en"/>
        </w:rPr>
        <w:t>〕</w:t>
      </w:r>
      <w:r>
        <w:rPr>
          <w:rFonts w:ascii="Times New Roman" w:eastAsia="仿宋"/>
          <w:sz w:val="32"/>
          <w:szCs w:val="32"/>
        </w:rPr>
        <w:t>93</w:t>
      </w:r>
      <w:r>
        <w:rPr>
          <w:rFonts w:ascii="Times New Roman" w:eastAsia="仿宋"/>
          <w:sz w:val="32"/>
          <w:szCs w:val="32"/>
          <w:lang w:val="en"/>
        </w:rPr>
        <w:t>号</w:t>
      </w:r>
      <w:r>
        <w:rPr>
          <w:rFonts w:ascii="Times New Roman" w:eastAsia="仿宋"/>
          <w:sz w:val="32"/>
          <w:szCs w:val="32"/>
        </w:rPr>
        <w:t>）有关规定，并基于本单位工作职能和事业发展需要编制相关预算。</w:t>
      </w:r>
    </w:p>
    <w:p>
      <w:pPr>
        <w:pStyle w:val="2"/>
        <w:spacing w:before="93" w:line="600" w:lineRule="exact"/>
        <w:ind w:firstLine="640" w:firstLineChars="200"/>
        <w:rPr>
          <w:rFonts w:ascii="Times New Roman" w:eastAsia="仿宋"/>
          <w:b/>
          <w:sz w:val="32"/>
          <w:szCs w:val="32"/>
        </w:rPr>
      </w:pPr>
      <w:r>
        <w:rPr>
          <w:rFonts w:ascii="Times New Roman" w:eastAsia="仿宋"/>
          <w:sz w:val="32"/>
          <w:szCs w:val="32"/>
        </w:rPr>
        <w:t>财政厅实际于2020年6月批复资金6万元，详</w:t>
      </w:r>
      <w:r>
        <w:rPr>
          <w:rFonts w:hint="eastAsia" w:ascii="Times New Roman" w:eastAsia="仿宋"/>
          <w:sz w:val="32"/>
          <w:szCs w:val="32"/>
        </w:rPr>
        <w:t>见</w:t>
      </w:r>
      <w:r>
        <w:rPr>
          <w:rFonts w:ascii="Times New Roman" w:eastAsia="仿宋"/>
          <w:sz w:val="32"/>
          <w:szCs w:val="32"/>
        </w:rPr>
        <w:t>《四川省财政厅关于批复省级2020年部门预算的通知》（川财农</w:t>
      </w:r>
      <w:r>
        <w:rPr>
          <w:rFonts w:ascii="Times New Roman" w:eastAsia="仿宋"/>
          <w:color w:val="000000"/>
          <w:sz w:val="32"/>
          <w:szCs w:val="32"/>
          <w:lang w:val="en"/>
        </w:rPr>
        <w:t>〔</w:t>
      </w:r>
      <w:r>
        <w:rPr>
          <w:rFonts w:ascii="Times New Roman" w:eastAsia="仿宋"/>
          <w:color w:val="000000"/>
          <w:sz w:val="32"/>
          <w:szCs w:val="32"/>
        </w:rPr>
        <w:t>2020</w:t>
      </w:r>
      <w:r>
        <w:rPr>
          <w:rFonts w:ascii="Times New Roman" w:eastAsia="仿宋"/>
          <w:color w:val="000000"/>
          <w:sz w:val="32"/>
          <w:szCs w:val="32"/>
          <w:lang w:val="en"/>
        </w:rPr>
        <w:t>〕</w:t>
      </w:r>
      <w:r>
        <w:rPr>
          <w:rFonts w:ascii="Times New Roman" w:eastAsia="仿宋"/>
          <w:sz w:val="32"/>
          <w:szCs w:val="32"/>
        </w:rPr>
        <w:t>56</w:t>
      </w:r>
      <w:r>
        <w:rPr>
          <w:rFonts w:ascii="Times New Roman" w:eastAsia="仿宋"/>
          <w:sz w:val="32"/>
          <w:szCs w:val="32"/>
          <w:lang w:val="en"/>
        </w:rPr>
        <w:t>号）</w:t>
      </w:r>
      <w:r>
        <w:rPr>
          <w:rFonts w:ascii="Times New Roman" w:eastAsia="仿宋"/>
          <w:sz w:val="32"/>
          <w:szCs w:val="32"/>
        </w:rPr>
        <w:t>和《四川省水利厅关于批复2020年</w:t>
      </w:r>
      <w:r>
        <w:rPr>
          <w:rFonts w:ascii="Times New Roman" w:eastAsia="仿宋"/>
          <w:color w:val="000000"/>
          <w:sz w:val="32"/>
          <w:szCs w:val="32"/>
        </w:rPr>
        <w:t>直属预算单位部门预算的通知》</w:t>
      </w:r>
      <w:r>
        <w:rPr>
          <w:rFonts w:ascii="Times New Roman" w:eastAsia="仿宋"/>
          <w:sz w:val="32"/>
          <w:szCs w:val="32"/>
        </w:rPr>
        <w:t>（川水函</w:t>
      </w:r>
      <w:r>
        <w:rPr>
          <w:rFonts w:ascii="Times New Roman" w:eastAsia="仿宋"/>
          <w:color w:val="000000"/>
          <w:sz w:val="32"/>
          <w:szCs w:val="32"/>
          <w:lang w:val="en"/>
        </w:rPr>
        <w:t>〔</w:t>
      </w:r>
      <w:r>
        <w:rPr>
          <w:rFonts w:ascii="Times New Roman" w:eastAsia="仿宋"/>
          <w:color w:val="000000"/>
          <w:sz w:val="32"/>
          <w:szCs w:val="32"/>
        </w:rPr>
        <w:t>2020</w:t>
      </w:r>
      <w:r>
        <w:rPr>
          <w:rFonts w:ascii="Times New Roman" w:eastAsia="仿宋"/>
          <w:color w:val="000000"/>
          <w:sz w:val="32"/>
          <w:szCs w:val="32"/>
          <w:lang w:val="en"/>
        </w:rPr>
        <w:t>〕</w:t>
      </w:r>
      <w:r>
        <w:rPr>
          <w:rFonts w:ascii="Times New Roman" w:eastAsia="仿宋"/>
          <w:color w:val="000000"/>
          <w:sz w:val="32"/>
          <w:szCs w:val="32"/>
        </w:rPr>
        <w:t>778</w:t>
      </w:r>
      <w:r>
        <w:rPr>
          <w:rFonts w:ascii="Times New Roman" w:eastAsia="仿宋"/>
          <w:color w:val="000000"/>
          <w:sz w:val="32"/>
          <w:szCs w:val="32"/>
          <w:lang w:val="en"/>
        </w:rPr>
        <w:t>号）。</w:t>
      </w:r>
    </w:p>
    <w:p>
      <w:pPr>
        <w:numPr>
          <w:ilvl w:val="0"/>
          <w:numId w:val="8"/>
        </w:numPr>
        <w:adjustRightInd w:val="0"/>
        <w:snapToGrid w:val="0"/>
        <w:spacing w:line="600" w:lineRule="exact"/>
        <w:ind w:firstLine="720"/>
        <w:rPr>
          <w:rFonts w:eastAsia="楷体"/>
          <w:bCs/>
          <w:sz w:val="32"/>
          <w:szCs w:val="32"/>
          <w:lang w:val="zh-CN"/>
        </w:rPr>
      </w:pPr>
      <w:r>
        <w:rPr>
          <w:rFonts w:eastAsia="楷体"/>
          <w:bCs/>
          <w:sz w:val="32"/>
          <w:szCs w:val="32"/>
          <w:lang w:val="zh-CN"/>
        </w:rPr>
        <w:t>项目绩效目标。</w:t>
      </w:r>
    </w:p>
    <w:p>
      <w:pPr>
        <w:adjustRightInd w:val="0"/>
        <w:snapToGrid w:val="0"/>
        <w:spacing w:line="600" w:lineRule="exact"/>
        <w:ind w:firstLine="640" w:firstLineChars="200"/>
        <w:rPr>
          <w:rFonts w:eastAsia="仿宋"/>
          <w:color w:val="000000"/>
          <w:kern w:val="0"/>
          <w:sz w:val="32"/>
          <w:szCs w:val="32"/>
        </w:rPr>
      </w:pPr>
      <w:r>
        <w:rPr>
          <w:rFonts w:eastAsia="仿宋"/>
          <w:color w:val="000000"/>
          <w:kern w:val="0"/>
          <w:sz w:val="32"/>
          <w:szCs w:val="32"/>
        </w:rPr>
        <w:t>我局主要在5-10月主汛期开展汛期24小时值班，计划每天抽查30座水库，预计汛期总共抽查</w:t>
      </w:r>
      <w:r>
        <w:rPr>
          <w:rFonts w:hint="eastAsia" w:eastAsia="仿宋"/>
          <w:color w:val="000000"/>
          <w:kern w:val="0"/>
          <w:sz w:val="32"/>
          <w:szCs w:val="32"/>
        </w:rPr>
        <w:t>4800</w:t>
      </w:r>
      <w:r>
        <w:rPr>
          <w:rFonts w:eastAsia="仿宋"/>
          <w:color w:val="000000"/>
          <w:kern w:val="0"/>
          <w:sz w:val="32"/>
          <w:szCs w:val="32"/>
        </w:rPr>
        <w:t>余次，</w:t>
      </w:r>
      <w:r>
        <w:rPr>
          <w:rFonts w:eastAsia="仿宋"/>
          <w:sz w:val="32"/>
          <w:szCs w:val="32"/>
          <w:lang w:val="zh-CN"/>
        </w:rPr>
        <w:t>水库抽查率</w:t>
      </w:r>
      <w:r>
        <w:rPr>
          <w:rFonts w:eastAsia="仿宋"/>
          <w:sz w:val="32"/>
          <w:szCs w:val="32"/>
        </w:rPr>
        <w:t>100%，该过该项目，</w:t>
      </w:r>
      <w:r>
        <w:rPr>
          <w:rFonts w:eastAsia="仿宋"/>
          <w:color w:val="000000"/>
          <w:kern w:val="0"/>
          <w:sz w:val="32"/>
          <w:szCs w:val="32"/>
        </w:rPr>
        <w:t>落实防汛责任，强化值班值守和信息报送，及时、科学处置突发情况，确保各项工作正常运转。</w:t>
      </w:r>
    </w:p>
    <w:p>
      <w:pPr>
        <w:adjustRightInd w:val="0"/>
        <w:snapToGrid w:val="0"/>
        <w:spacing w:line="600" w:lineRule="exact"/>
        <w:ind w:firstLine="640" w:firstLineChars="200"/>
        <w:rPr>
          <w:rFonts w:eastAsia="楷体"/>
          <w:bCs/>
          <w:sz w:val="32"/>
          <w:szCs w:val="32"/>
          <w:lang w:val="zh-CN"/>
        </w:rPr>
      </w:pPr>
      <w:r>
        <w:rPr>
          <w:rFonts w:eastAsia="楷体"/>
          <w:bCs/>
          <w:sz w:val="32"/>
          <w:szCs w:val="32"/>
          <w:lang w:val="zh-CN"/>
        </w:rPr>
        <w:t>（三）项目资金申报相符性。</w:t>
      </w:r>
    </w:p>
    <w:p>
      <w:pPr>
        <w:adjustRightInd w:val="0"/>
        <w:snapToGrid w:val="0"/>
        <w:spacing w:line="600" w:lineRule="exact"/>
        <w:ind w:firstLine="720"/>
        <w:rPr>
          <w:rFonts w:eastAsia="仿宋"/>
          <w:color w:val="000000"/>
          <w:kern w:val="0"/>
          <w:sz w:val="32"/>
          <w:szCs w:val="32"/>
        </w:rPr>
      </w:pPr>
      <w:r>
        <w:rPr>
          <w:rFonts w:eastAsia="仿宋"/>
          <w:color w:val="000000"/>
          <w:kern w:val="0"/>
          <w:sz w:val="32"/>
          <w:szCs w:val="32"/>
        </w:rPr>
        <w:t>按照水利厅、财政厅、人力资源社会保障厅《关于落实基层防汛抗旱体系建设相关经费保障的通知》 (川水〔2016〕5号)要求，我局坚持汛期24小时值班制度，并按规定对参与值班且未进行补休的值班人员发放补助，防汛报汛费项目主要用于发放防汛值班补助等，该项目申报内容与实施内容相符，申报目标合理可行。</w:t>
      </w:r>
    </w:p>
    <w:p>
      <w:pPr>
        <w:adjustRightInd w:val="0"/>
        <w:snapToGrid w:val="0"/>
        <w:spacing w:line="600" w:lineRule="exact"/>
        <w:ind w:firstLine="640" w:firstLineChars="200"/>
        <w:rPr>
          <w:rFonts w:eastAsia="黑体"/>
          <w:sz w:val="32"/>
          <w:szCs w:val="32"/>
        </w:rPr>
      </w:pPr>
      <w:r>
        <w:rPr>
          <w:rFonts w:eastAsia="黑体"/>
          <w:sz w:val="32"/>
          <w:szCs w:val="32"/>
        </w:rPr>
        <w:t>二、项目实施及管理情况</w:t>
      </w:r>
    </w:p>
    <w:p>
      <w:pPr>
        <w:adjustRightInd w:val="0"/>
        <w:snapToGrid w:val="0"/>
        <w:spacing w:line="600" w:lineRule="exact"/>
        <w:ind w:firstLine="640" w:firstLineChars="200"/>
        <w:rPr>
          <w:rFonts w:eastAsia="楷体"/>
          <w:bCs/>
          <w:sz w:val="32"/>
          <w:szCs w:val="32"/>
          <w:lang w:val="zh-CN"/>
        </w:rPr>
      </w:pPr>
      <w:r>
        <w:rPr>
          <w:rFonts w:eastAsia="楷体"/>
          <w:bCs/>
          <w:sz w:val="32"/>
          <w:szCs w:val="32"/>
          <w:lang w:val="zh-CN"/>
        </w:rPr>
        <w:tab/>
      </w:r>
      <w:r>
        <w:rPr>
          <w:rFonts w:eastAsia="楷体"/>
          <w:bCs/>
          <w:sz w:val="32"/>
          <w:szCs w:val="32"/>
          <w:lang w:val="zh-CN"/>
        </w:rPr>
        <w:t>（一）资金计划、到位及使用情况。</w:t>
      </w:r>
    </w:p>
    <w:p>
      <w:pPr>
        <w:adjustRightInd w:val="0"/>
        <w:snapToGrid w:val="0"/>
        <w:spacing w:line="600" w:lineRule="exact"/>
        <w:ind w:firstLine="720"/>
        <w:rPr>
          <w:rFonts w:eastAsia="仿宋"/>
          <w:color w:val="000000"/>
          <w:kern w:val="0"/>
          <w:sz w:val="32"/>
          <w:szCs w:val="32"/>
        </w:rPr>
      </w:pPr>
      <w:r>
        <w:rPr>
          <w:rFonts w:eastAsia="仿宋"/>
          <w:sz w:val="32"/>
          <w:szCs w:val="32"/>
          <w:lang w:val="zh-CN"/>
        </w:rPr>
        <w:t>1．资金计划及到位。</w:t>
      </w:r>
      <w:r>
        <w:rPr>
          <w:rFonts w:eastAsia="仿宋"/>
          <w:color w:val="000000"/>
          <w:kern w:val="0"/>
          <w:sz w:val="32"/>
          <w:szCs w:val="32"/>
        </w:rPr>
        <w:t>防汛报汛费项目资金6万元，全部为省级财政拨款，该笔款项于2020年6月一次性到位，到位率100%</w:t>
      </w:r>
      <w:r>
        <w:rPr>
          <w:rFonts w:hint="eastAsia" w:eastAsia="仿宋"/>
          <w:color w:val="000000"/>
          <w:kern w:val="0"/>
          <w:sz w:val="32"/>
          <w:szCs w:val="32"/>
        </w:rPr>
        <w:t>。</w:t>
      </w:r>
    </w:p>
    <w:p>
      <w:pPr>
        <w:adjustRightInd w:val="0"/>
        <w:snapToGrid w:val="0"/>
        <w:spacing w:line="600" w:lineRule="exact"/>
        <w:ind w:firstLine="640" w:firstLineChars="200"/>
        <w:rPr>
          <w:rFonts w:eastAsia="仿宋"/>
          <w:color w:val="000000"/>
          <w:kern w:val="0"/>
          <w:sz w:val="32"/>
          <w:szCs w:val="32"/>
        </w:rPr>
      </w:pPr>
      <w:r>
        <w:rPr>
          <w:rFonts w:eastAsia="仿宋"/>
          <w:sz w:val="32"/>
          <w:szCs w:val="32"/>
        </w:rPr>
        <w:t xml:space="preserve">2. </w:t>
      </w:r>
      <w:r>
        <w:rPr>
          <w:rFonts w:eastAsia="仿宋"/>
          <w:sz w:val="32"/>
          <w:szCs w:val="32"/>
          <w:lang w:val="zh-CN"/>
        </w:rPr>
        <w:t>资金使用。</w:t>
      </w:r>
      <w:r>
        <w:rPr>
          <w:rFonts w:eastAsia="仿宋"/>
          <w:color w:val="000000"/>
          <w:kern w:val="0"/>
          <w:sz w:val="32"/>
          <w:szCs w:val="32"/>
        </w:rPr>
        <w:t>截至2020年末，该项目实际支出6万元，主要用于发放单位职工防汛值班补助。相关资金支付与预算相符且合规合法。</w:t>
      </w:r>
    </w:p>
    <w:p>
      <w:pPr>
        <w:adjustRightInd w:val="0"/>
        <w:snapToGrid w:val="0"/>
        <w:spacing w:line="600" w:lineRule="exact"/>
        <w:ind w:firstLine="640" w:firstLineChars="200"/>
        <w:rPr>
          <w:rFonts w:eastAsia="楷体"/>
          <w:bCs/>
          <w:sz w:val="32"/>
          <w:szCs w:val="32"/>
          <w:lang w:val="zh-CN"/>
        </w:rPr>
      </w:pPr>
      <w:r>
        <w:rPr>
          <w:rFonts w:eastAsia="楷体"/>
          <w:bCs/>
          <w:sz w:val="32"/>
          <w:szCs w:val="32"/>
          <w:lang w:val="zh-CN"/>
        </w:rPr>
        <w:t>（二）项目财务管理情况。</w:t>
      </w:r>
    </w:p>
    <w:p>
      <w:pPr>
        <w:pStyle w:val="2"/>
        <w:spacing w:before="93" w:line="600" w:lineRule="exact"/>
        <w:ind w:firstLine="640"/>
        <w:rPr>
          <w:rFonts w:ascii="Times New Roman" w:eastAsia="仿宋"/>
          <w:sz w:val="32"/>
          <w:szCs w:val="32"/>
        </w:rPr>
      </w:pPr>
      <w:r>
        <w:rPr>
          <w:rFonts w:ascii="Times New Roman" w:eastAsia="仿宋"/>
          <w:sz w:val="32"/>
          <w:szCs w:val="32"/>
        </w:rPr>
        <w:t>我单位适用政府会计准则制度，该项目相关支出严格按照《政府收支分类科目》中“部门预算支出经济分类科目”的款级科目进行明细核算，同时在“项目支出”明细科目下单独设立“防汛报汛费”进行明细核算，财务处理及时，会计核算规范。</w:t>
      </w:r>
    </w:p>
    <w:p>
      <w:pPr>
        <w:adjustRightInd w:val="0"/>
        <w:snapToGrid w:val="0"/>
        <w:spacing w:line="600" w:lineRule="exact"/>
        <w:ind w:firstLine="640" w:firstLineChars="200"/>
        <w:rPr>
          <w:rFonts w:eastAsia="楷体"/>
          <w:bCs/>
          <w:sz w:val="32"/>
          <w:szCs w:val="32"/>
          <w:lang w:val="zh-CN"/>
        </w:rPr>
      </w:pPr>
      <w:r>
        <w:rPr>
          <w:rFonts w:eastAsia="楷体"/>
          <w:bCs/>
          <w:sz w:val="32"/>
          <w:szCs w:val="32"/>
          <w:lang w:val="zh-CN"/>
        </w:rPr>
        <w:t>（三）项目组织实施情况。</w:t>
      </w:r>
    </w:p>
    <w:p>
      <w:pPr>
        <w:pStyle w:val="2"/>
        <w:spacing w:before="93" w:line="600" w:lineRule="exact"/>
        <w:ind w:firstLine="630"/>
        <w:rPr>
          <w:rFonts w:ascii="Times New Roman" w:eastAsia="仿宋"/>
          <w:kern w:val="2"/>
          <w:sz w:val="32"/>
          <w:szCs w:val="32"/>
        </w:rPr>
      </w:pPr>
      <w:r>
        <w:rPr>
          <w:rFonts w:ascii="Times New Roman" w:eastAsia="仿宋"/>
          <w:kern w:val="2"/>
          <w:sz w:val="32"/>
          <w:szCs w:val="32"/>
        </w:rPr>
        <w:t>我局根据相关规定，实行汛期防汛值班工作组轮流 24 小时昼夜值班和局领导轮流带班的制度，局办公室会同业务科室共同统筹确定科室轮流值班时间，报局长审定后印发公示，值班人员严格按照《四川省农田水利局防汛值班人员工作职责》的规定开展工作。按照省财政厅《关于规范省直部门公务员加班补助 值班补助有关问题的通知》</w:t>
      </w:r>
      <w:r>
        <w:rPr>
          <w:rFonts w:ascii="Times New Roman" w:eastAsia="仿宋"/>
          <w:color w:val="000000"/>
          <w:sz w:val="32"/>
          <w:szCs w:val="32"/>
        </w:rPr>
        <w:t xml:space="preserve"> (川水〔2020〕25号)有关要求，</w:t>
      </w:r>
      <w:r>
        <w:rPr>
          <w:rFonts w:ascii="Times New Roman" w:eastAsia="仿宋"/>
          <w:kern w:val="2"/>
          <w:sz w:val="32"/>
          <w:szCs w:val="32"/>
        </w:rPr>
        <w:t>局办公室据实统计每月防汛值班及节假日值班费，制定值班发放表后，依据审批程序报销相应费用。</w:t>
      </w:r>
    </w:p>
    <w:p>
      <w:pPr>
        <w:adjustRightInd w:val="0"/>
        <w:snapToGrid w:val="0"/>
        <w:spacing w:line="600" w:lineRule="exact"/>
        <w:ind w:firstLine="640" w:firstLineChars="200"/>
        <w:rPr>
          <w:rFonts w:eastAsia="黑体"/>
          <w:sz w:val="32"/>
          <w:szCs w:val="32"/>
          <w:lang w:val="zh-CN"/>
        </w:rPr>
      </w:pPr>
      <w:r>
        <w:rPr>
          <w:rFonts w:eastAsia="黑体"/>
          <w:sz w:val="32"/>
          <w:szCs w:val="32"/>
        </w:rPr>
        <w:t>三、项目绩效情况</w:t>
      </w:r>
      <w:r>
        <w:rPr>
          <w:rFonts w:eastAsia="黑体"/>
          <w:sz w:val="32"/>
          <w:szCs w:val="32"/>
          <w:lang w:val="zh-CN"/>
        </w:rPr>
        <w:tab/>
      </w:r>
    </w:p>
    <w:p>
      <w:pPr>
        <w:adjustRightInd w:val="0"/>
        <w:snapToGrid w:val="0"/>
        <w:spacing w:line="600" w:lineRule="exact"/>
        <w:ind w:firstLine="640" w:firstLineChars="200"/>
        <w:rPr>
          <w:rFonts w:eastAsia="楷体"/>
          <w:bCs/>
          <w:sz w:val="32"/>
          <w:szCs w:val="32"/>
          <w:lang w:val="zh-CN"/>
        </w:rPr>
      </w:pPr>
      <w:r>
        <w:rPr>
          <w:rFonts w:eastAsia="楷体"/>
          <w:bCs/>
          <w:sz w:val="32"/>
          <w:szCs w:val="32"/>
          <w:lang w:val="zh-CN"/>
        </w:rPr>
        <w:t>（一）项目完成情况。</w:t>
      </w:r>
    </w:p>
    <w:p>
      <w:pPr>
        <w:adjustRightInd w:val="0"/>
        <w:snapToGrid w:val="0"/>
        <w:spacing w:line="600" w:lineRule="exact"/>
        <w:ind w:firstLine="640" w:firstLineChars="200"/>
        <w:rPr>
          <w:rFonts w:eastAsia="仿宋"/>
          <w:sz w:val="32"/>
          <w:szCs w:val="32"/>
        </w:rPr>
      </w:pPr>
      <w:r>
        <w:rPr>
          <w:rFonts w:eastAsia="仿宋"/>
          <w:sz w:val="32"/>
          <w:szCs w:val="32"/>
        </w:rPr>
        <w:t>截至2020年12月底，我局</w:t>
      </w:r>
      <w:r>
        <w:rPr>
          <w:rFonts w:hint="eastAsia" w:eastAsia="仿宋"/>
          <w:sz w:val="32"/>
          <w:szCs w:val="32"/>
        </w:rPr>
        <w:t>已在</w:t>
      </w:r>
      <w:r>
        <w:rPr>
          <w:rFonts w:eastAsia="仿宋"/>
          <w:sz w:val="32"/>
          <w:szCs w:val="32"/>
        </w:rPr>
        <w:t>5-10月开展防汛值班，水库抽查率100%</w:t>
      </w:r>
      <w:r>
        <w:rPr>
          <w:rFonts w:hint="eastAsia" w:eastAsia="仿宋"/>
          <w:sz w:val="32"/>
          <w:szCs w:val="32"/>
        </w:rPr>
        <w:t>，</w:t>
      </w:r>
      <w:r>
        <w:rPr>
          <w:rFonts w:eastAsia="仿宋"/>
          <w:sz w:val="32"/>
          <w:szCs w:val="32"/>
        </w:rPr>
        <w:t>水库安全度汛工作</w:t>
      </w:r>
      <w:r>
        <w:rPr>
          <w:rFonts w:hint="eastAsia" w:eastAsia="仿宋"/>
          <w:sz w:val="32"/>
          <w:szCs w:val="32"/>
        </w:rPr>
        <w:t>顺利</w:t>
      </w:r>
      <w:r>
        <w:rPr>
          <w:rFonts w:eastAsia="仿宋"/>
          <w:sz w:val="32"/>
          <w:szCs w:val="32"/>
        </w:rPr>
        <w:t>完成</w:t>
      </w:r>
      <w:r>
        <w:rPr>
          <w:rFonts w:hint="eastAsia" w:eastAsia="仿宋"/>
          <w:sz w:val="32"/>
          <w:szCs w:val="32"/>
        </w:rPr>
        <w:t>。</w:t>
      </w:r>
    </w:p>
    <w:p>
      <w:pPr>
        <w:adjustRightInd w:val="0"/>
        <w:snapToGrid w:val="0"/>
        <w:spacing w:line="600" w:lineRule="exact"/>
        <w:ind w:firstLine="640" w:firstLineChars="200"/>
        <w:rPr>
          <w:rFonts w:eastAsia="楷体"/>
          <w:bCs/>
          <w:sz w:val="32"/>
          <w:szCs w:val="32"/>
          <w:lang w:val="zh-CN"/>
        </w:rPr>
      </w:pPr>
      <w:r>
        <w:rPr>
          <w:rFonts w:eastAsia="楷体"/>
          <w:bCs/>
          <w:sz w:val="32"/>
          <w:szCs w:val="32"/>
          <w:lang w:val="zh-CN"/>
        </w:rPr>
        <w:t>（二）项目效益情况。</w:t>
      </w:r>
    </w:p>
    <w:p>
      <w:pPr>
        <w:pStyle w:val="7"/>
        <w:spacing w:line="600" w:lineRule="exact"/>
        <w:ind w:firstLine="640" w:firstLineChars="200"/>
        <w:rPr>
          <w:rFonts w:ascii="Times New Roman" w:hAnsi="Times New Roman" w:eastAsia="仿宋"/>
          <w:sz w:val="32"/>
          <w:szCs w:val="32"/>
          <w:lang w:val="zh-CN"/>
        </w:rPr>
      </w:pPr>
      <w:r>
        <w:rPr>
          <w:rFonts w:ascii="Times New Roman" w:hAnsi="Times New Roman" w:eastAsia="仿宋"/>
          <w:sz w:val="32"/>
          <w:szCs w:val="32"/>
        </w:rPr>
        <w:t>通过开展防汛值班工作，严格压紧压实水库防汛工作责任，不仅强化值班值守和信息报送，及时、科学处置突发情况，又最大限度保障人民群众生命财产安全。</w:t>
      </w:r>
    </w:p>
    <w:p>
      <w:pPr>
        <w:adjustRightInd w:val="0"/>
        <w:snapToGrid w:val="0"/>
        <w:spacing w:line="600" w:lineRule="exact"/>
        <w:ind w:firstLine="640" w:firstLineChars="200"/>
        <w:rPr>
          <w:rFonts w:eastAsia="黑体"/>
          <w:sz w:val="32"/>
          <w:szCs w:val="32"/>
        </w:rPr>
      </w:pPr>
      <w:r>
        <w:rPr>
          <w:rFonts w:eastAsia="黑体"/>
          <w:sz w:val="32"/>
          <w:szCs w:val="32"/>
        </w:rPr>
        <w:t>四、问题及建议</w:t>
      </w:r>
    </w:p>
    <w:p>
      <w:pPr>
        <w:pStyle w:val="2"/>
        <w:spacing w:before="93" w:line="600" w:lineRule="exact"/>
        <w:ind w:firstLine="640" w:firstLineChars="200"/>
        <w:rPr>
          <w:rFonts w:ascii="Times New Roman" w:eastAsia="仿宋"/>
          <w:sz w:val="32"/>
          <w:szCs w:val="32"/>
          <w:lang w:val="zh-CN"/>
        </w:rPr>
      </w:pPr>
      <w:r>
        <w:rPr>
          <w:rFonts w:ascii="Times New Roman" w:eastAsia="仿宋"/>
          <w:sz w:val="32"/>
          <w:szCs w:val="32"/>
          <w:lang w:val="zh-CN"/>
        </w:rPr>
        <w:t>无</w:t>
      </w:r>
      <w:r>
        <w:rPr>
          <w:rFonts w:hint="eastAsia" w:ascii="Times New Roman" w:eastAsia="仿宋"/>
          <w:sz w:val="32"/>
          <w:szCs w:val="32"/>
          <w:lang w:val="zh-CN"/>
        </w:rPr>
        <w:t>。</w:t>
      </w:r>
    </w:p>
    <w:p>
      <w:pPr>
        <w:pStyle w:val="2"/>
        <w:spacing w:before="93" w:line="600" w:lineRule="exact"/>
        <w:rPr>
          <w:rFonts w:ascii="Times New Roman" w:eastAsia="仿宋"/>
          <w:sz w:val="32"/>
          <w:szCs w:val="32"/>
        </w:rPr>
      </w:pPr>
    </w:p>
    <w:p>
      <w:pPr>
        <w:pStyle w:val="2"/>
        <w:spacing w:before="93"/>
        <w:rPr>
          <w:rFonts w:ascii="Times New Roman"/>
        </w:rPr>
      </w:pPr>
    </w:p>
    <w:p>
      <w:pPr>
        <w:pStyle w:val="2"/>
        <w:spacing w:before="93"/>
        <w:rPr>
          <w:rFonts w:ascii="Times New Roman"/>
        </w:rPr>
      </w:pPr>
    </w:p>
    <w:p>
      <w:pPr>
        <w:pStyle w:val="2"/>
        <w:spacing w:before="93"/>
        <w:rPr>
          <w:rFonts w:ascii="Times New Roman"/>
        </w:rPr>
      </w:pPr>
    </w:p>
    <w:p>
      <w:pPr>
        <w:pStyle w:val="2"/>
        <w:spacing w:before="93"/>
        <w:rPr>
          <w:rFonts w:ascii="Times New Roman"/>
        </w:rPr>
      </w:pPr>
    </w:p>
    <w:p>
      <w:pPr>
        <w:pStyle w:val="2"/>
        <w:spacing w:before="93"/>
        <w:rPr>
          <w:rFonts w:ascii="Times New Roman"/>
        </w:rPr>
      </w:pPr>
    </w:p>
    <w:p>
      <w:pPr>
        <w:spacing w:line="600" w:lineRule="exact"/>
        <w:jc w:val="center"/>
        <w:rPr>
          <w:rFonts w:eastAsia="方正小标宋简体"/>
          <w:kern w:val="0"/>
          <w:sz w:val="44"/>
          <w:szCs w:val="44"/>
          <w:lang w:val="zh-CN"/>
        </w:rPr>
      </w:pPr>
      <w:r>
        <w:rPr>
          <w:rFonts w:eastAsia="方正小标宋简体"/>
          <w:kern w:val="0"/>
          <w:sz w:val="44"/>
          <w:szCs w:val="44"/>
          <w:lang w:val="zh-CN"/>
        </w:rPr>
        <w:t>202</w:t>
      </w:r>
      <w:r>
        <w:rPr>
          <w:rFonts w:eastAsia="方正小标宋简体"/>
          <w:kern w:val="0"/>
          <w:sz w:val="44"/>
          <w:szCs w:val="44"/>
        </w:rPr>
        <w:t>0</w:t>
      </w:r>
      <w:r>
        <w:rPr>
          <w:rFonts w:eastAsia="方正小标宋简体"/>
          <w:kern w:val="0"/>
          <w:sz w:val="44"/>
          <w:szCs w:val="44"/>
          <w:lang w:val="zh-CN"/>
        </w:rPr>
        <w:t>年“</w:t>
      </w:r>
      <w:r>
        <w:rPr>
          <w:rFonts w:eastAsia="方正小标宋简体"/>
          <w:kern w:val="0"/>
          <w:sz w:val="44"/>
          <w:szCs w:val="44"/>
        </w:rPr>
        <w:t>水利政策法规专项经费</w:t>
      </w:r>
      <w:r>
        <w:rPr>
          <w:rFonts w:eastAsia="方正小标宋简体"/>
          <w:kern w:val="0"/>
          <w:sz w:val="44"/>
          <w:szCs w:val="44"/>
          <w:lang w:val="zh-CN"/>
        </w:rPr>
        <w:t>”</w:t>
      </w:r>
      <w:r>
        <w:rPr>
          <w:rFonts w:eastAsia="方正小标宋简体"/>
          <w:kern w:val="0"/>
          <w:sz w:val="44"/>
          <w:szCs w:val="44"/>
        </w:rPr>
        <w:t>项目</w:t>
      </w:r>
      <w:r>
        <w:rPr>
          <w:rFonts w:eastAsia="方正小标宋简体"/>
          <w:kern w:val="0"/>
          <w:sz w:val="44"/>
          <w:szCs w:val="44"/>
          <w:lang w:val="zh-CN"/>
        </w:rPr>
        <w:t>支出绩效自评报告</w:t>
      </w:r>
    </w:p>
    <w:p>
      <w:pPr>
        <w:pStyle w:val="2"/>
        <w:spacing w:before="93"/>
        <w:rPr>
          <w:rFonts w:ascii="Times New Roman"/>
          <w:lang w:val="zh-CN"/>
        </w:rPr>
      </w:pPr>
    </w:p>
    <w:p>
      <w:pPr>
        <w:numPr>
          <w:ilvl w:val="0"/>
          <w:numId w:val="9"/>
        </w:numPr>
        <w:adjustRightInd w:val="0"/>
        <w:snapToGrid w:val="0"/>
        <w:spacing w:line="600" w:lineRule="exact"/>
        <w:ind w:firstLine="720"/>
        <w:rPr>
          <w:rFonts w:eastAsia="黑体"/>
          <w:sz w:val="32"/>
          <w:szCs w:val="32"/>
          <w:lang w:val="zh-CN"/>
        </w:rPr>
      </w:pPr>
      <w:r>
        <w:rPr>
          <w:rFonts w:eastAsia="黑体"/>
          <w:sz w:val="32"/>
          <w:szCs w:val="32"/>
          <w:lang w:val="zh-CN"/>
        </w:rPr>
        <w:t>项目概况</w:t>
      </w:r>
    </w:p>
    <w:p>
      <w:pPr>
        <w:adjustRightInd w:val="0"/>
        <w:snapToGrid w:val="0"/>
        <w:spacing w:line="600" w:lineRule="exact"/>
        <w:ind w:firstLine="640" w:firstLineChars="200"/>
        <w:rPr>
          <w:rFonts w:eastAsia="楷体"/>
          <w:bCs/>
          <w:sz w:val="32"/>
          <w:szCs w:val="32"/>
          <w:lang w:val="zh-CN"/>
        </w:rPr>
      </w:pPr>
      <w:r>
        <w:rPr>
          <w:rFonts w:eastAsia="楷体"/>
          <w:bCs/>
          <w:sz w:val="32"/>
          <w:szCs w:val="32"/>
          <w:lang w:val="zh-CN"/>
        </w:rPr>
        <w:t>（一）项目资金申报及批复情况。</w:t>
      </w:r>
    </w:p>
    <w:p>
      <w:pPr>
        <w:pStyle w:val="2"/>
        <w:spacing w:before="93" w:line="600" w:lineRule="exact"/>
        <w:ind w:firstLine="640"/>
        <w:rPr>
          <w:rFonts w:ascii="Times New Roman" w:eastAsia="仿宋"/>
          <w:sz w:val="32"/>
          <w:szCs w:val="32"/>
        </w:rPr>
      </w:pPr>
      <w:r>
        <w:rPr>
          <w:rFonts w:ascii="Times New Roman" w:eastAsia="仿宋"/>
          <w:sz w:val="32"/>
          <w:szCs w:val="32"/>
        </w:rPr>
        <w:t>“水利政策法规专项经费”项目2020年预算申报资金12.6万元，我局严格根据《四川省财政厅关于编制省级部门2020-2022年支出规划和2020年部门预算的通知》（川财预</w:t>
      </w:r>
      <w:r>
        <w:rPr>
          <w:rFonts w:ascii="Times New Roman" w:eastAsia="仿宋"/>
          <w:color w:val="000000"/>
          <w:sz w:val="32"/>
          <w:szCs w:val="32"/>
          <w:lang w:val="en"/>
        </w:rPr>
        <w:t>〔</w:t>
      </w:r>
      <w:r>
        <w:rPr>
          <w:rFonts w:ascii="Times New Roman" w:eastAsia="仿宋"/>
          <w:color w:val="000000"/>
          <w:sz w:val="32"/>
          <w:szCs w:val="32"/>
        </w:rPr>
        <w:t>2019</w:t>
      </w:r>
      <w:r>
        <w:rPr>
          <w:rFonts w:ascii="Times New Roman" w:eastAsia="仿宋"/>
          <w:color w:val="000000"/>
          <w:sz w:val="32"/>
          <w:szCs w:val="32"/>
          <w:lang w:val="en"/>
        </w:rPr>
        <w:t>〕</w:t>
      </w:r>
      <w:r>
        <w:rPr>
          <w:rFonts w:ascii="Times New Roman" w:eastAsia="仿宋"/>
          <w:sz w:val="32"/>
          <w:szCs w:val="32"/>
        </w:rPr>
        <w:t>93</w:t>
      </w:r>
      <w:r>
        <w:rPr>
          <w:rFonts w:ascii="Times New Roman" w:eastAsia="仿宋"/>
          <w:sz w:val="32"/>
          <w:szCs w:val="32"/>
          <w:lang w:val="en"/>
        </w:rPr>
        <w:t>号</w:t>
      </w:r>
      <w:r>
        <w:rPr>
          <w:rFonts w:ascii="Times New Roman" w:eastAsia="仿宋"/>
          <w:sz w:val="32"/>
          <w:szCs w:val="32"/>
        </w:rPr>
        <w:t>）有关规定，并基于本单位工作职能和事业发展需要编制相关预算。</w:t>
      </w:r>
    </w:p>
    <w:p>
      <w:pPr>
        <w:pStyle w:val="2"/>
        <w:spacing w:before="93" w:line="600" w:lineRule="exact"/>
        <w:ind w:firstLine="640"/>
        <w:rPr>
          <w:rFonts w:ascii="Times New Roman" w:eastAsia="仿宋"/>
          <w:sz w:val="32"/>
          <w:szCs w:val="32"/>
        </w:rPr>
      </w:pPr>
      <w:r>
        <w:rPr>
          <w:rFonts w:ascii="Times New Roman" w:eastAsia="仿宋"/>
          <w:sz w:val="32"/>
          <w:szCs w:val="32"/>
        </w:rPr>
        <w:t>财政厅实际于2020年6月批复资金12.6万元，详</w:t>
      </w:r>
      <w:r>
        <w:rPr>
          <w:rFonts w:hint="eastAsia" w:ascii="Times New Roman" w:eastAsia="仿宋"/>
          <w:sz w:val="32"/>
          <w:szCs w:val="32"/>
        </w:rPr>
        <w:t>见</w:t>
      </w:r>
      <w:r>
        <w:rPr>
          <w:rFonts w:ascii="Times New Roman" w:eastAsia="仿宋"/>
          <w:sz w:val="32"/>
          <w:szCs w:val="32"/>
        </w:rPr>
        <w:t>《四川省财政厅关于批复省级2020年部门预算的通知》（川财农〔2020〕56号）和《四川省水利厅关于批复2020年直属预算单位部门预算的通知》（川水函〔2020〕778号）。</w:t>
      </w:r>
    </w:p>
    <w:p>
      <w:pPr>
        <w:pStyle w:val="2"/>
        <w:spacing w:before="93" w:line="600" w:lineRule="exact"/>
        <w:ind w:firstLine="640"/>
        <w:rPr>
          <w:rFonts w:ascii="Times New Roman" w:eastAsia="仿宋"/>
          <w:sz w:val="32"/>
          <w:szCs w:val="32"/>
        </w:rPr>
      </w:pPr>
      <w:r>
        <w:rPr>
          <w:rFonts w:ascii="Times New Roman" w:eastAsia="仿宋"/>
          <w:sz w:val="32"/>
          <w:szCs w:val="32"/>
        </w:rPr>
        <w:t>预算执行过程中，基于我局实际工作需要，在严格履行预算调整相关必要流程之后，调出6.52万元至“物业管理费”项目，详见《四川省财政厅关于同意省水利厅调整2020年部门预算部分支出预算的通知》（川财农〔2020〕138号）该项目2020年实际可执行金额为</w:t>
      </w:r>
      <w:r>
        <w:rPr>
          <w:rFonts w:hint="eastAsia" w:ascii="Times New Roman" w:eastAsia="仿宋"/>
          <w:sz w:val="32"/>
          <w:szCs w:val="32"/>
        </w:rPr>
        <w:t>6.08</w:t>
      </w:r>
      <w:r>
        <w:rPr>
          <w:rFonts w:ascii="Times New Roman" w:eastAsia="仿宋"/>
          <w:sz w:val="32"/>
          <w:szCs w:val="32"/>
        </w:rPr>
        <w:t>万元</w:t>
      </w:r>
      <w:r>
        <w:rPr>
          <w:rFonts w:hint="eastAsia" w:ascii="Times New Roman" w:eastAsia="仿宋"/>
          <w:sz w:val="32"/>
          <w:szCs w:val="32"/>
        </w:rPr>
        <w:t>。</w:t>
      </w:r>
    </w:p>
    <w:p>
      <w:pPr>
        <w:adjustRightInd w:val="0"/>
        <w:snapToGrid w:val="0"/>
        <w:spacing w:line="600" w:lineRule="exact"/>
        <w:ind w:firstLine="640" w:firstLineChars="200"/>
        <w:rPr>
          <w:rFonts w:eastAsia="楷体"/>
          <w:bCs/>
          <w:sz w:val="32"/>
          <w:szCs w:val="32"/>
          <w:lang w:val="zh-CN"/>
        </w:rPr>
      </w:pPr>
      <w:r>
        <w:rPr>
          <w:rFonts w:eastAsia="楷体"/>
          <w:bCs/>
          <w:sz w:val="32"/>
          <w:szCs w:val="32"/>
          <w:lang w:val="zh-CN"/>
        </w:rPr>
        <w:t>（二）项目绩效目标。</w:t>
      </w:r>
    </w:p>
    <w:p>
      <w:pPr>
        <w:adjustRightInd w:val="0"/>
        <w:snapToGrid w:val="0"/>
        <w:spacing w:line="600" w:lineRule="exact"/>
        <w:ind w:firstLine="720"/>
        <w:rPr>
          <w:rFonts w:eastAsia="仿宋"/>
          <w:kern w:val="0"/>
          <w:sz w:val="32"/>
          <w:szCs w:val="32"/>
        </w:rPr>
      </w:pPr>
      <w:r>
        <w:rPr>
          <w:rFonts w:eastAsia="仿宋"/>
          <w:kern w:val="0"/>
          <w:sz w:val="32"/>
          <w:szCs w:val="32"/>
        </w:rPr>
        <w:t>计划实现的绩效目标</w:t>
      </w:r>
      <w:r>
        <w:rPr>
          <w:rFonts w:eastAsia="仿宋"/>
          <w:kern w:val="0"/>
          <w:sz w:val="32"/>
          <w:szCs w:val="32"/>
          <w:lang w:val="zh-CN"/>
        </w:rPr>
        <w:t>：为加快水利法治发展进程，该项目主要用于支付法律服务咨询及委托服务，计划购买服务不低于</w:t>
      </w:r>
      <w:r>
        <w:rPr>
          <w:rFonts w:eastAsia="仿宋"/>
          <w:kern w:val="0"/>
          <w:sz w:val="32"/>
          <w:szCs w:val="32"/>
        </w:rPr>
        <w:t>1次，并完成</w:t>
      </w:r>
      <w:r>
        <w:rPr>
          <w:rFonts w:hint="eastAsia" w:eastAsia="仿宋"/>
          <w:kern w:val="0"/>
          <w:sz w:val="32"/>
          <w:szCs w:val="32"/>
        </w:rPr>
        <w:t>相应</w:t>
      </w:r>
      <w:r>
        <w:rPr>
          <w:rFonts w:eastAsia="仿宋"/>
          <w:kern w:val="0"/>
          <w:sz w:val="32"/>
          <w:szCs w:val="32"/>
        </w:rPr>
        <w:t>工作报告。</w:t>
      </w:r>
    </w:p>
    <w:p>
      <w:pPr>
        <w:adjustRightInd w:val="0"/>
        <w:snapToGrid w:val="0"/>
        <w:spacing w:line="600" w:lineRule="exact"/>
        <w:ind w:firstLine="640" w:firstLineChars="200"/>
        <w:rPr>
          <w:rFonts w:eastAsia="楷体"/>
          <w:bCs/>
          <w:sz w:val="32"/>
          <w:szCs w:val="32"/>
          <w:lang w:val="zh-CN"/>
        </w:rPr>
      </w:pPr>
      <w:r>
        <w:rPr>
          <w:rFonts w:eastAsia="楷体"/>
          <w:bCs/>
          <w:sz w:val="32"/>
          <w:szCs w:val="32"/>
          <w:lang w:val="zh-CN"/>
        </w:rPr>
        <w:t>（三）项目资金申报相符性。</w:t>
      </w:r>
    </w:p>
    <w:p>
      <w:pPr>
        <w:adjustRightInd w:val="0"/>
        <w:snapToGrid w:val="0"/>
        <w:spacing w:line="600" w:lineRule="exact"/>
        <w:ind w:firstLine="640" w:firstLineChars="200"/>
        <w:rPr>
          <w:rFonts w:eastAsia="仿宋"/>
          <w:kern w:val="0"/>
          <w:sz w:val="32"/>
          <w:szCs w:val="32"/>
          <w:lang w:val="zh-CN"/>
        </w:rPr>
      </w:pPr>
      <w:r>
        <w:rPr>
          <w:rFonts w:eastAsia="仿宋"/>
          <w:kern w:val="0"/>
          <w:sz w:val="32"/>
          <w:szCs w:val="32"/>
          <w:lang w:val="zh-CN"/>
        </w:rPr>
        <w:t>为加快水利法治的发展进程，使水利工作有法可依、有据可查，我局根据实际工作需求设立该项目</w:t>
      </w:r>
      <w:r>
        <w:rPr>
          <w:rFonts w:hint="eastAsia" w:eastAsia="仿宋"/>
          <w:kern w:val="0"/>
          <w:sz w:val="32"/>
          <w:szCs w:val="32"/>
          <w:lang w:val="zh-CN"/>
        </w:rPr>
        <w:t>，</w:t>
      </w:r>
      <w:r>
        <w:rPr>
          <w:rFonts w:eastAsia="仿宋"/>
          <w:kern w:val="0"/>
          <w:sz w:val="32"/>
          <w:szCs w:val="32"/>
          <w:lang w:val="zh-CN"/>
        </w:rPr>
        <w:t>申报内容与实施内容相符，申报目标合理可行。</w:t>
      </w:r>
    </w:p>
    <w:p>
      <w:pPr>
        <w:adjustRightInd w:val="0"/>
        <w:snapToGrid w:val="0"/>
        <w:spacing w:line="600" w:lineRule="exact"/>
        <w:ind w:firstLine="640" w:firstLineChars="200"/>
        <w:rPr>
          <w:rFonts w:eastAsia="黑体"/>
          <w:sz w:val="32"/>
          <w:szCs w:val="32"/>
          <w:lang w:val="zh-CN"/>
        </w:rPr>
      </w:pPr>
      <w:r>
        <w:rPr>
          <w:rFonts w:eastAsia="黑体"/>
          <w:sz w:val="32"/>
          <w:szCs w:val="32"/>
          <w:lang w:val="zh-CN"/>
        </w:rPr>
        <w:t>二、项目实施及管理情况</w:t>
      </w:r>
    </w:p>
    <w:p>
      <w:pPr>
        <w:adjustRightInd w:val="0"/>
        <w:snapToGrid w:val="0"/>
        <w:spacing w:line="600" w:lineRule="exact"/>
        <w:ind w:firstLine="720"/>
        <w:rPr>
          <w:rFonts w:eastAsia="仿宋"/>
          <w:b/>
          <w:sz w:val="32"/>
          <w:szCs w:val="32"/>
          <w:lang w:val="zh-CN"/>
        </w:rPr>
      </w:pPr>
      <w:r>
        <w:rPr>
          <w:rFonts w:eastAsia="仿宋"/>
          <w:sz w:val="32"/>
          <w:szCs w:val="32"/>
          <w:lang w:val="zh-CN"/>
        </w:rPr>
        <w:tab/>
      </w:r>
      <w:r>
        <w:rPr>
          <w:rFonts w:eastAsia="楷体"/>
          <w:bCs/>
          <w:sz w:val="32"/>
          <w:szCs w:val="32"/>
          <w:lang w:val="zh-CN"/>
        </w:rPr>
        <w:t>（一）资金计划、到位及使用情况。</w:t>
      </w:r>
    </w:p>
    <w:p>
      <w:pPr>
        <w:adjustRightInd w:val="0"/>
        <w:snapToGrid w:val="0"/>
        <w:spacing w:line="600" w:lineRule="exact"/>
        <w:ind w:firstLine="720"/>
        <w:rPr>
          <w:rFonts w:eastAsia="仿宋"/>
          <w:color w:val="000000"/>
          <w:kern w:val="0"/>
          <w:sz w:val="32"/>
          <w:szCs w:val="32"/>
        </w:rPr>
      </w:pPr>
      <w:r>
        <w:rPr>
          <w:rFonts w:eastAsia="仿宋"/>
          <w:sz w:val="32"/>
          <w:szCs w:val="32"/>
          <w:lang w:val="zh-CN"/>
        </w:rPr>
        <w:t>1．资金计划及到位。</w:t>
      </w:r>
      <w:r>
        <w:rPr>
          <w:rFonts w:eastAsia="仿宋"/>
          <w:kern w:val="0"/>
          <w:sz w:val="32"/>
          <w:szCs w:val="32"/>
          <w:lang w:val="zh-CN"/>
        </w:rPr>
        <w:t>“水利政策法规专项经费”项目资金</w:t>
      </w:r>
      <w:r>
        <w:rPr>
          <w:rFonts w:eastAsia="仿宋"/>
          <w:kern w:val="0"/>
          <w:sz w:val="32"/>
          <w:szCs w:val="32"/>
        </w:rPr>
        <w:t>12.6</w:t>
      </w:r>
      <w:r>
        <w:rPr>
          <w:rFonts w:eastAsia="仿宋"/>
          <w:kern w:val="0"/>
          <w:sz w:val="32"/>
          <w:szCs w:val="32"/>
          <w:lang w:val="zh-CN"/>
        </w:rPr>
        <w:t>万元，全部为省级财政拨款，该笔款项于2020年</w:t>
      </w:r>
      <w:r>
        <w:rPr>
          <w:rFonts w:eastAsia="仿宋"/>
          <w:color w:val="000000"/>
          <w:kern w:val="0"/>
          <w:sz w:val="32"/>
          <w:szCs w:val="32"/>
        </w:rPr>
        <w:t>6月一次性到位，到位率100%。</w:t>
      </w:r>
    </w:p>
    <w:p>
      <w:pPr>
        <w:adjustRightInd w:val="0"/>
        <w:snapToGrid w:val="0"/>
        <w:spacing w:line="600" w:lineRule="exact"/>
        <w:ind w:firstLine="640" w:firstLineChars="200"/>
        <w:rPr>
          <w:rFonts w:eastAsia="仿宋"/>
          <w:color w:val="000000"/>
          <w:kern w:val="0"/>
          <w:sz w:val="32"/>
          <w:szCs w:val="32"/>
        </w:rPr>
      </w:pPr>
      <w:r>
        <w:rPr>
          <w:rFonts w:eastAsia="仿宋"/>
          <w:sz w:val="32"/>
          <w:szCs w:val="32"/>
        </w:rPr>
        <w:t xml:space="preserve">2. </w:t>
      </w:r>
      <w:r>
        <w:rPr>
          <w:rFonts w:eastAsia="仿宋"/>
          <w:sz w:val="32"/>
          <w:szCs w:val="32"/>
          <w:lang w:val="zh-CN"/>
        </w:rPr>
        <w:t>资金使用。</w:t>
      </w:r>
      <w:r>
        <w:rPr>
          <w:rFonts w:eastAsia="仿宋"/>
          <w:color w:val="000000"/>
          <w:kern w:val="0"/>
          <w:sz w:val="32"/>
          <w:szCs w:val="32"/>
        </w:rPr>
        <w:t>截至2020年末，该项目实际支出6.08万元，主要用于聘请法律顾问和大型灌区续建配套与节水改造项目招投标领域突出问题系统治理专项核查工作购买服务。相关资金支付与预算相符且合规合法。</w:t>
      </w:r>
    </w:p>
    <w:p>
      <w:pPr>
        <w:adjustRightInd w:val="0"/>
        <w:snapToGrid w:val="0"/>
        <w:spacing w:line="600" w:lineRule="exact"/>
        <w:ind w:firstLine="720"/>
        <w:rPr>
          <w:rFonts w:eastAsia="楷体"/>
          <w:bCs/>
          <w:sz w:val="32"/>
          <w:szCs w:val="32"/>
          <w:lang w:val="zh-CN"/>
        </w:rPr>
      </w:pPr>
      <w:r>
        <w:rPr>
          <w:rFonts w:eastAsia="楷体"/>
          <w:bCs/>
          <w:sz w:val="32"/>
          <w:szCs w:val="32"/>
          <w:lang w:val="zh-CN"/>
        </w:rPr>
        <w:t>（二）项目财务管理情况。</w:t>
      </w:r>
    </w:p>
    <w:p>
      <w:pPr>
        <w:pStyle w:val="2"/>
        <w:spacing w:before="93" w:line="600" w:lineRule="exact"/>
        <w:ind w:firstLine="640"/>
        <w:rPr>
          <w:rFonts w:ascii="Times New Roman" w:eastAsia="仿宋"/>
          <w:sz w:val="32"/>
          <w:szCs w:val="32"/>
        </w:rPr>
      </w:pPr>
      <w:r>
        <w:rPr>
          <w:rFonts w:ascii="Times New Roman" w:eastAsia="仿宋"/>
          <w:sz w:val="32"/>
          <w:szCs w:val="32"/>
        </w:rPr>
        <w:t>我单位适用政府会计准则制度，该项目相关支出严格按照《政府收支分类科目》中“部门预算支出经济分类科目”的款级科目进行明细核算，同时在“项目支出”明细科目下单独设立“</w:t>
      </w:r>
      <w:r>
        <w:rPr>
          <w:rFonts w:ascii="Times New Roman" w:eastAsia="仿宋"/>
          <w:sz w:val="32"/>
          <w:szCs w:val="32"/>
          <w:lang w:val="zh-CN"/>
        </w:rPr>
        <w:t>水利政策法规专项经费</w:t>
      </w:r>
      <w:r>
        <w:rPr>
          <w:rFonts w:ascii="Times New Roman" w:eastAsia="仿宋"/>
          <w:sz w:val="32"/>
          <w:szCs w:val="32"/>
        </w:rPr>
        <w:t>”进行明细核算，财务处理及时，会计核算规范。</w:t>
      </w:r>
    </w:p>
    <w:p>
      <w:pPr>
        <w:adjustRightInd w:val="0"/>
        <w:snapToGrid w:val="0"/>
        <w:spacing w:line="600" w:lineRule="exact"/>
        <w:ind w:firstLine="720"/>
        <w:rPr>
          <w:rFonts w:eastAsia="楷体"/>
          <w:bCs/>
          <w:sz w:val="32"/>
          <w:szCs w:val="32"/>
          <w:lang w:val="zh-CN"/>
        </w:rPr>
      </w:pPr>
      <w:r>
        <w:rPr>
          <w:rFonts w:eastAsia="楷体"/>
          <w:bCs/>
          <w:sz w:val="32"/>
          <w:szCs w:val="32"/>
          <w:lang w:val="zh-CN"/>
        </w:rPr>
        <w:t>（三）项目组织实施情况。</w:t>
      </w:r>
    </w:p>
    <w:p>
      <w:pPr>
        <w:pStyle w:val="2"/>
        <w:spacing w:before="93" w:line="600" w:lineRule="exact"/>
        <w:ind w:firstLine="640" w:firstLineChars="200"/>
        <w:rPr>
          <w:rFonts w:ascii="Times New Roman" w:eastAsia="仿宋"/>
          <w:sz w:val="32"/>
          <w:szCs w:val="32"/>
        </w:rPr>
      </w:pPr>
      <w:r>
        <w:rPr>
          <w:rFonts w:ascii="Times New Roman" w:eastAsia="仿宋"/>
          <w:kern w:val="2"/>
          <w:sz w:val="32"/>
          <w:szCs w:val="32"/>
        </w:rPr>
        <w:t>该项目主要由本单位各业务科室进行实施，购买服务严格按照四川省农田水利局自行采购委托业务费流程进行。委托业务执行党风廉政建设有关规定，局纪检部门全程介入监督，并接受干部职工监督。</w:t>
      </w:r>
    </w:p>
    <w:p>
      <w:pPr>
        <w:adjustRightInd w:val="0"/>
        <w:snapToGrid w:val="0"/>
        <w:spacing w:line="600" w:lineRule="exact"/>
        <w:ind w:firstLine="640" w:firstLineChars="200"/>
        <w:rPr>
          <w:rFonts w:eastAsia="黑体"/>
          <w:sz w:val="32"/>
          <w:szCs w:val="32"/>
          <w:lang w:val="zh-CN"/>
        </w:rPr>
      </w:pPr>
      <w:r>
        <w:rPr>
          <w:rFonts w:eastAsia="黑体"/>
          <w:sz w:val="32"/>
          <w:szCs w:val="32"/>
          <w:lang w:val="zh-CN"/>
        </w:rPr>
        <w:t>三、项目绩效情况</w:t>
      </w:r>
      <w:r>
        <w:rPr>
          <w:rFonts w:eastAsia="黑体"/>
          <w:sz w:val="32"/>
          <w:szCs w:val="32"/>
          <w:lang w:val="zh-CN"/>
        </w:rPr>
        <w:tab/>
      </w:r>
    </w:p>
    <w:p>
      <w:pPr>
        <w:adjustRightInd w:val="0"/>
        <w:snapToGrid w:val="0"/>
        <w:spacing w:line="600" w:lineRule="exact"/>
        <w:ind w:firstLine="720"/>
        <w:rPr>
          <w:rFonts w:eastAsia="楷体"/>
          <w:bCs/>
          <w:sz w:val="32"/>
          <w:szCs w:val="32"/>
          <w:lang w:val="zh-CN"/>
        </w:rPr>
      </w:pPr>
      <w:r>
        <w:rPr>
          <w:rFonts w:eastAsia="楷体"/>
          <w:bCs/>
          <w:sz w:val="32"/>
          <w:szCs w:val="32"/>
          <w:lang w:val="zh-CN"/>
        </w:rPr>
        <w:t>（一）项目完成情况。</w:t>
      </w:r>
    </w:p>
    <w:p>
      <w:pPr>
        <w:adjustRightInd w:val="0"/>
        <w:snapToGrid w:val="0"/>
        <w:spacing w:line="600" w:lineRule="exact"/>
        <w:ind w:firstLine="720"/>
        <w:rPr>
          <w:rFonts w:eastAsia="仿宋"/>
          <w:sz w:val="32"/>
          <w:szCs w:val="32"/>
        </w:rPr>
      </w:pPr>
      <w:r>
        <w:rPr>
          <w:rFonts w:eastAsia="仿宋"/>
          <w:sz w:val="32"/>
          <w:szCs w:val="32"/>
        </w:rPr>
        <w:t>“</w:t>
      </w:r>
      <w:r>
        <w:rPr>
          <w:rFonts w:eastAsia="仿宋"/>
          <w:sz w:val="32"/>
          <w:szCs w:val="32"/>
          <w:lang w:val="zh-CN"/>
        </w:rPr>
        <w:t>水利政策法规专项经费</w:t>
      </w:r>
      <w:r>
        <w:rPr>
          <w:rFonts w:eastAsia="仿宋"/>
          <w:sz w:val="32"/>
          <w:szCs w:val="32"/>
        </w:rPr>
        <w:t>”项目共支付委托业务费2个，一是聘请常年法律顾问，共开展法律讲座1次，提供上门服务12次，协助并完善我局内部规章制度；二是组织法律、审计等专家开展</w:t>
      </w:r>
      <w:r>
        <w:rPr>
          <w:rFonts w:eastAsia="仿宋"/>
          <w:color w:val="000000"/>
          <w:kern w:val="0"/>
          <w:sz w:val="32"/>
          <w:szCs w:val="32"/>
        </w:rPr>
        <w:t>合规性核查，</w:t>
      </w:r>
      <w:r>
        <w:rPr>
          <w:rFonts w:eastAsia="仿宋"/>
          <w:sz w:val="32"/>
          <w:szCs w:val="32"/>
        </w:rPr>
        <w:t>对四川省通济堰灌区续建配套与节水改造项目第九期（部分）和第十期、新南干渠向家巷暗拱整治、双巴堰支渠施工2标、富家分干渠施工等四个工程项目</w:t>
      </w:r>
      <w:r>
        <w:rPr>
          <w:rFonts w:eastAsia="仿宋"/>
          <w:color w:val="000000"/>
          <w:kern w:val="0"/>
          <w:sz w:val="32"/>
          <w:szCs w:val="32"/>
        </w:rPr>
        <w:t>招投标情况及建设实施情况开展现场核查工作，共形成核查工作报告1份。</w:t>
      </w:r>
    </w:p>
    <w:p>
      <w:pPr>
        <w:adjustRightInd w:val="0"/>
        <w:snapToGrid w:val="0"/>
        <w:spacing w:line="600" w:lineRule="exact"/>
        <w:ind w:firstLine="720"/>
        <w:rPr>
          <w:rFonts w:eastAsia="楷体"/>
          <w:bCs/>
          <w:sz w:val="32"/>
          <w:szCs w:val="32"/>
          <w:lang w:val="zh-CN"/>
        </w:rPr>
      </w:pPr>
      <w:r>
        <w:rPr>
          <w:rFonts w:eastAsia="楷体"/>
          <w:bCs/>
          <w:sz w:val="32"/>
          <w:szCs w:val="32"/>
          <w:lang w:val="zh-CN"/>
        </w:rPr>
        <w:t>（二）项目效益情况。</w:t>
      </w:r>
    </w:p>
    <w:p>
      <w:pPr>
        <w:spacing w:line="600" w:lineRule="exact"/>
        <w:ind w:firstLine="640" w:firstLineChars="200"/>
        <w:rPr>
          <w:rFonts w:eastAsia="仿宋"/>
          <w:sz w:val="32"/>
          <w:szCs w:val="32"/>
        </w:rPr>
      </w:pPr>
      <w:r>
        <w:rPr>
          <w:rFonts w:eastAsia="仿宋"/>
          <w:sz w:val="32"/>
          <w:szCs w:val="32"/>
        </w:rPr>
        <w:t>一是提高法律风险防控能力，通过法律咨询服务、合同审核从事前预防、事中控制、事后补救三个方面保障单位合法利益；二是提高职工法律意识，通过法制讲座加深相关法律法规知识积累；三是提高单位管理水平，加强对灌区续建配套与节水改造等农田水利项目经济活动中合同、审计及招投标增领域监管水平。</w:t>
      </w:r>
    </w:p>
    <w:p>
      <w:pPr>
        <w:adjustRightInd w:val="0"/>
        <w:snapToGrid w:val="0"/>
        <w:spacing w:line="600" w:lineRule="exact"/>
        <w:ind w:firstLine="640" w:firstLineChars="200"/>
        <w:rPr>
          <w:rFonts w:eastAsia="黑体"/>
          <w:sz w:val="32"/>
          <w:szCs w:val="32"/>
          <w:lang w:val="zh-CN"/>
        </w:rPr>
      </w:pPr>
      <w:r>
        <w:rPr>
          <w:rFonts w:eastAsia="黑体"/>
          <w:sz w:val="32"/>
          <w:szCs w:val="32"/>
          <w:lang w:val="zh-CN"/>
        </w:rPr>
        <w:t>四、问题及建议</w:t>
      </w:r>
    </w:p>
    <w:p>
      <w:pPr>
        <w:adjustRightInd w:val="0"/>
        <w:snapToGrid w:val="0"/>
        <w:spacing w:line="600" w:lineRule="exact"/>
        <w:ind w:firstLine="640" w:firstLineChars="200"/>
        <w:rPr>
          <w:rFonts w:eastAsia="仿宋"/>
          <w:sz w:val="32"/>
          <w:szCs w:val="32"/>
        </w:rPr>
      </w:pPr>
      <w:r>
        <w:rPr>
          <w:rFonts w:eastAsia="仿宋"/>
          <w:sz w:val="32"/>
          <w:szCs w:val="32"/>
        </w:rPr>
        <w:t>无</w:t>
      </w:r>
      <w:r>
        <w:rPr>
          <w:rFonts w:hint="eastAsia" w:eastAsia="仿宋"/>
          <w:sz w:val="32"/>
          <w:szCs w:val="32"/>
        </w:rPr>
        <w:t>。</w:t>
      </w:r>
    </w:p>
    <w:p>
      <w:pPr>
        <w:pStyle w:val="2"/>
        <w:spacing w:before="93"/>
      </w:pPr>
    </w:p>
    <w:p>
      <w:pPr>
        <w:spacing w:line="580" w:lineRule="exact"/>
        <w:rPr>
          <w:rFonts w:eastAsia="仿宋_GB2312"/>
          <w:sz w:val="32"/>
          <w:szCs w:val="32"/>
        </w:rPr>
      </w:pPr>
    </w:p>
    <w:p>
      <w:pPr>
        <w:spacing w:line="600" w:lineRule="exact"/>
        <w:jc w:val="center"/>
        <w:rPr>
          <w:rFonts w:eastAsia="方正小标宋简体"/>
          <w:kern w:val="0"/>
          <w:sz w:val="44"/>
          <w:szCs w:val="44"/>
          <w:lang w:val="zh-CN"/>
        </w:rPr>
      </w:pPr>
      <w:r>
        <w:rPr>
          <w:rFonts w:eastAsia="方正小标宋简体"/>
          <w:kern w:val="0"/>
          <w:sz w:val="44"/>
          <w:szCs w:val="44"/>
          <w:lang w:val="zh-CN"/>
        </w:rPr>
        <w:t>202</w:t>
      </w:r>
      <w:r>
        <w:rPr>
          <w:rFonts w:eastAsia="方正小标宋简体"/>
          <w:kern w:val="0"/>
          <w:sz w:val="44"/>
          <w:szCs w:val="44"/>
        </w:rPr>
        <w:t>0</w:t>
      </w:r>
      <w:r>
        <w:rPr>
          <w:rFonts w:eastAsia="方正小标宋简体"/>
          <w:kern w:val="0"/>
          <w:sz w:val="44"/>
          <w:szCs w:val="44"/>
          <w:lang w:val="zh-CN"/>
        </w:rPr>
        <w:t>年“</w:t>
      </w:r>
      <w:r>
        <w:rPr>
          <w:rFonts w:eastAsia="方正小标宋简体"/>
          <w:kern w:val="0"/>
          <w:sz w:val="44"/>
          <w:szCs w:val="44"/>
        </w:rPr>
        <w:t>饮水安全、病险水库整治等农村水利重大项目管理费</w:t>
      </w:r>
      <w:r>
        <w:rPr>
          <w:rFonts w:eastAsia="方正小标宋简体"/>
          <w:kern w:val="0"/>
          <w:sz w:val="44"/>
          <w:szCs w:val="44"/>
          <w:lang w:val="zh-CN"/>
        </w:rPr>
        <w:t>”</w:t>
      </w:r>
      <w:r>
        <w:rPr>
          <w:rFonts w:eastAsia="方正小标宋简体"/>
          <w:kern w:val="0"/>
          <w:sz w:val="44"/>
          <w:szCs w:val="44"/>
        </w:rPr>
        <w:t>项目</w:t>
      </w:r>
      <w:r>
        <w:rPr>
          <w:rFonts w:eastAsia="方正小标宋简体"/>
          <w:kern w:val="0"/>
          <w:sz w:val="44"/>
          <w:szCs w:val="44"/>
          <w:lang w:val="zh-CN"/>
        </w:rPr>
        <w:t>支出绩效自评报告</w:t>
      </w:r>
    </w:p>
    <w:p>
      <w:pPr>
        <w:spacing w:line="600" w:lineRule="exact"/>
        <w:ind w:firstLine="640"/>
        <w:jc w:val="center"/>
        <w:rPr>
          <w:sz w:val="32"/>
          <w:szCs w:val="32"/>
          <w:lang w:val="zh-CN"/>
        </w:rPr>
      </w:pPr>
    </w:p>
    <w:p>
      <w:pPr>
        <w:adjustRightInd w:val="0"/>
        <w:snapToGrid w:val="0"/>
        <w:spacing w:line="600" w:lineRule="exact"/>
        <w:ind w:firstLine="640" w:firstLineChars="200"/>
        <w:rPr>
          <w:rFonts w:eastAsia="黑体"/>
          <w:sz w:val="32"/>
          <w:szCs w:val="32"/>
          <w:lang w:val="zh-CN"/>
        </w:rPr>
      </w:pPr>
      <w:r>
        <w:rPr>
          <w:rFonts w:eastAsia="黑体"/>
          <w:sz w:val="32"/>
          <w:szCs w:val="32"/>
          <w:lang w:val="zh-CN"/>
        </w:rPr>
        <w:t>一、项目概况</w:t>
      </w:r>
    </w:p>
    <w:p>
      <w:pPr>
        <w:adjustRightInd w:val="0"/>
        <w:snapToGrid w:val="0"/>
        <w:spacing w:line="600" w:lineRule="exact"/>
        <w:ind w:firstLine="720"/>
        <w:rPr>
          <w:rFonts w:eastAsia="楷体"/>
          <w:bCs/>
          <w:sz w:val="32"/>
          <w:szCs w:val="32"/>
          <w:lang w:val="zh-CN"/>
        </w:rPr>
      </w:pPr>
      <w:r>
        <w:rPr>
          <w:rFonts w:eastAsia="楷体"/>
          <w:bCs/>
          <w:sz w:val="32"/>
          <w:szCs w:val="32"/>
          <w:lang w:val="zh-CN"/>
        </w:rPr>
        <w:t>（一）项目资金申报及批复情况。</w:t>
      </w:r>
    </w:p>
    <w:p>
      <w:pPr>
        <w:pStyle w:val="2"/>
        <w:spacing w:before="93" w:line="600" w:lineRule="exact"/>
        <w:ind w:firstLine="640"/>
        <w:rPr>
          <w:rFonts w:ascii="Times New Roman" w:eastAsia="仿宋"/>
          <w:sz w:val="32"/>
          <w:szCs w:val="32"/>
        </w:rPr>
      </w:pPr>
      <w:r>
        <w:rPr>
          <w:rFonts w:ascii="Times New Roman" w:eastAsia="仿宋"/>
          <w:sz w:val="32"/>
          <w:szCs w:val="32"/>
        </w:rPr>
        <w:t>“饮水安全、病险水库整治等农村水利重大项目管理费”项目2020年预算申报资金63万元，我局严格根据《四川省财政厅关于编制省级部门2020-2022年支出规划和2020年部门预算的通知》（川财预</w:t>
      </w:r>
      <w:r>
        <w:rPr>
          <w:rFonts w:ascii="Times New Roman" w:eastAsia="仿宋"/>
          <w:color w:val="000000"/>
          <w:sz w:val="32"/>
          <w:szCs w:val="32"/>
          <w:lang w:val="en"/>
        </w:rPr>
        <w:t>〔</w:t>
      </w:r>
      <w:r>
        <w:rPr>
          <w:rFonts w:ascii="Times New Roman" w:eastAsia="仿宋"/>
          <w:color w:val="000000"/>
          <w:sz w:val="32"/>
          <w:szCs w:val="32"/>
        </w:rPr>
        <w:t>2019</w:t>
      </w:r>
      <w:r>
        <w:rPr>
          <w:rFonts w:ascii="Times New Roman" w:eastAsia="仿宋"/>
          <w:color w:val="000000"/>
          <w:sz w:val="32"/>
          <w:szCs w:val="32"/>
          <w:lang w:val="en"/>
        </w:rPr>
        <w:t>〕</w:t>
      </w:r>
      <w:r>
        <w:rPr>
          <w:rFonts w:ascii="Times New Roman" w:eastAsia="仿宋"/>
          <w:sz w:val="32"/>
          <w:szCs w:val="32"/>
        </w:rPr>
        <w:t>93</w:t>
      </w:r>
      <w:r>
        <w:rPr>
          <w:rFonts w:ascii="Times New Roman" w:eastAsia="仿宋"/>
          <w:sz w:val="32"/>
          <w:szCs w:val="32"/>
          <w:lang w:val="en"/>
        </w:rPr>
        <w:t>号</w:t>
      </w:r>
      <w:r>
        <w:rPr>
          <w:rFonts w:ascii="Times New Roman" w:eastAsia="仿宋"/>
          <w:sz w:val="32"/>
          <w:szCs w:val="32"/>
        </w:rPr>
        <w:t>）有关规定，并基于本单位工作职能和事业发展需要编制相关预算。</w:t>
      </w:r>
    </w:p>
    <w:p>
      <w:pPr>
        <w:pStyle w:val="2"/>
        <w:spacing w:before="93" w:line="600" w:lineRule="exact"/>
        <w:ind w:firstLine="640"/>
        <w:rPr>
          <w:rFonts w:ascii="Times New Roman" w:eastAsia="仿宋"/>
          <w:sz w:val="32"/>
          <w:szCs w:val="32"/>
        </w:rPr>
      </w:pPr>
      <w:r>
        <w:rPr>
          <w:rFonts w:ascii="Times New Roman" w:eastAsia="仿宋"/>
          <w:sz w:val="32"/>
          <w:szCs w:val="32"/>
        </w:rPr>
        <w:t>财政厅实际于2020年6月批复资金63万元，详</w:t>
      </w:r>
      <w:r>
        <w:rPr>
          <w:rFonts w:hint="eastAsia" w:ascii="Times New Roman" w:eastAsia="仿宋"/>
          <w:sz w:val="32"/>
          <w:szCs w:val="32"/>
        </w:rPr>
        <w:t>见</w:t>
      </w:r>
      <w:r>
        <w:rPr>
          <w:rFonts w:ascii="Times New Roman" w:eastAsia="仿宋"/>
          <w:sz w:val="32"/>
          <w:szCs w:val="32"/>
        </w:rPr>
        <w:t>《四川省财政厅关于批复省级2020年部门预算的通知》（川财农〔2020〕56号）和《四川省水利厅关于批复2020年直属预算单位部门预算的通知》（川水函〔2020〕778号）。</w:t>
      </w:r>
    </w:p>
    <w:p>
      <w:pPr>
        <w:pStyle w:val="2"/>
        <w:spacing w:before="93" w:line="600" w:lineRule="exact"/>
        <w:ind w:firstLine="640"/>
        <w:rPr>
          <w:rFonts w:ascii="Times New Roman" w:eastAsia="仿宋"/>
          <w:sz w:val="32"/>
          <w:szCs w:val="32"/>
        </w:rPr>
      </w:pPr>
      <w:r>
        <w:rPr>
          <w:rFonts w:ascii="Times New Roman" w:eastAsia="仿宋"/>
          <w:sz w:val="32"/>
          <w:szCs w:val="32"/>
        </w:rPr>
        <w:t>预算执行过程中，基于我局实际工作需要，在严格履行预算调整相关必要流程之后，分别调出3万元至“设施设备维修费”项目，7.94万元至“物业管理费”项目，详见《四川省财政厅关于调整水利厅2020年部门预算部分支出预算的通知》（川财农〔2020〕70号）、《四川省财政厅关于同意省水利厅调整2020年部门预算部分支出预算的通知》（川财农〔2020〕138号），该项目2020年实际可执行金额为52.06万元。</w:t>
      </w:r>
    </w:p>
    <w:p>
      <w:pPr>
        <w:adjustRightInd w:val="0"/>
        <w:snapToGrid w:val="0"/>
        <w:spacing w:line="600" w:lineRule="exact"/>
        <w:ind w:firstLine="720"/>
        <w:rPr>
          <w:rFonts w:eastAsia="楷体"/>
          <w:bCs/>
          <w:sz w:val="32"/>
          <w:szCs w:val="32"/>
          <w:lang w:val="zh-CN"/>
        </w:rPr>
      </w:pPr>
      <w:r>
        <w:rPr>
          <w:rFonts w:eastAsia="楷体"/>
          <w:bCs/>
          <w:sz w:val="32"/>
          <w:szCs w:val="32"/>
          <w:lang w:val="zh-CN"/>
        </w:rPr>
        <w:t>（二）项目绩效目标。</w:t>
      </w:r>
    </w:p>
    <w:p>
      <w:pPr>
        <w:pStyle w:val="2"/>
        <w:spacing w:before="93" w:line="600" w:lineRule="exact"/>
        <w:ind w:firstLine="640" w:firstLineChars="200"/>
        <w:rPr>
          <w:rFonts w:ascii="Times New Roman" w:eastAsia="仿宋"/>
          <w:sz w:val="32"/>
          <w:szCs w:val="32"/>
        </w:rPr>
      </w:pPr>
      <w:r>
        <w:rPr>
          <w:rFonts w:ascii="Times New Roman" w:eastAsia="仿宋"/>
          <w:sz w:val="32"/>
          <w:szCs w:val="32"/>
          <w:lang w:val="zh-CN"/>
        </w:rPr>
        <w:t>该项目主要用于保障我局2020年度农村饮水安全、水库除险加固及防汛安全管理等重大项目工作的开展，计划聘用驾驶员等</w:t>
      </w:r>
      <w:r>
        <w:rPr>
          <w:rFonts w:ascii="Times New Roman" w:eastAsia="仿宋"/>
          <w:sz w:val="32"/>
          <w:szCs w:val="32"/>
        </w:rPr>
        <w:t>6</w:t>
      </w:r>
      <w:r>
        <w:rPr>
          <w:rFonts w:ascii="Times New Roman" w:eastAsia="仿宋"/>
          <w:sz w:val="32"/>
          <w:szCs w:val="32"/>
          <w:lang w:val="zh-CN"/>
        </w:rPr>
        <w:t>名工作人员，完成局农村水利网升级改造、购买</w:t>
      </w:r>
      <w:r>
        <w:rPr>
          <w:rFonts w:ascii="Times New Roman" w:eastAsia="仿宋"/>
          <w:sz w:val="32"/>
          <w:szCs w:val="32"/>
        </w:rPr>
        <w:t>2次及以上</w:t>
      </w:r>
      <w:r>
        <w:rPr>
          <w:rFonts w:ascii="Times New Roman" w:eastAsia="仿宋"/>
          <w:sz w:val="32"/>
          <w:szCs w:val="32"/>
          <w:lang w:val="zh-CN"/>
        </w:rPr>
        <w:t>农村水利相关委托业务及咨询服务。</w:t>
      </w:r>
      <w:r>
        <w:rPr>
          <w:rFonts w:hint="eastAsia" w:ascii="Times New Roman" w:eastAsia="仿宋"/>
          <w:sz w:val="32"/>
          <w:szCs w:val="32"/>
        </w:rPr>
        <w:t xml:space="preserve"> </w:t>
      </w:r>
    </w:p>
    <w:p>
      <w:pPr>
        <w:adjustRightInd w:val="0"/>
        <w:snapToGrid w:val="0"/>
        <w:spacing w:line="600" w:lineRule="exact"/>
        <w:ind w:firstLine="720"/>
        <w:rPr>
          <w:rFonts w:eastAsia="楷体"/>
          <w:bCs/>
          <w:sz w:val="32"/>
          <w:szCs w:val="32"/>
          <w:lang w:val="zh-CN"/>
        </w:rPr>
      </w:pPr>
      <w:r>
        <w:rPr>
          <w:rFonts w:eastAsia="楷体"/>
          <w:bCs/>
          <w:sz w:val="32"/>
          <w:szCs w:val="32"/>
          <w:lang w:val="zh-CN"/>
        </w:rPr>
        <w:t>（三）项目资金申报相符性。</w:t>
      </w:r>
    </w:p>
    <w:p>
      <w:pPr>
        <w:adjustRightInd w:val="0"/>
        <w:snapToGrid w:val="0"/>
        <w:spacing w:line="600" w:lineRule="exact"/>
        <w:ind w:firstLine="720"/>
        <w:rPr>
          <w:rFonts w:eastAsia="仿宋"/>
          <w:kern w:val="0"/>
          <w:sz w:val="32"/>
          <w:szCs w:val="32"/>
          <w:lang w:val="zh-CN"/>
        </w:rPr>
      </w:pPr>
      <w:r>
        <w:rPr>
          <w:rFonts w:eastAsia="仿宋"/>
          <w:kern w:val="0"/>
          <w:sz w:val="32"/>
          <w:szCs w:val="32"/>
          <w:lang w:val="zh-CN"/>
        </w:rPr>
        <w:t>我局根据实际工作需求设立该项目</w:t>
      </w:r>
      <w:r>
        <w:rPr>
          <w:rFonts w:hint="eastAsia" w:eastAsia="仿宋"/>
          <w:kern w:val="0"/>
          <w:sz w:val="32"/>
          <w:szCs w:val="32"/>
          <w:lang w:val="zh-CN"/>
        </w:rPr>
        <w:t>，</w:t>
      </w:r>
      <w:r>
        <w:rPr>
          <w:rFonts w:eastAsia="仿宋"/>
          <w:kern w:val="0"/>
          <w:sz w:val="32"/>
          <w:szCs w:val="32"/>
          <w:lang w:val="zh-CN"/>
        </w:rPr>
        <w:t>申报内容与实施内容相符，申报目标合理可行。</w:t>
      </w:r>
    </w:p>
    <w:p>
      <w:pPr>
        <w:adjustRightInd w:val="0"/>
        <w:snapToGrid w:val="0"/>
        <w:spacing w:line="600" w:lineRule="exact"/>
        <w:ind w:firstLine="640" w:firstLineChars="200"/>
        <w:rPr>
          <w:rFonts w:eastAsia="黑体"/>
          <w:sz w:val="32"/>
          <w:szCs w:val="32"/>
          <w:lang w:val="zh-CN"/>
        </w:rPr>
      </w:pPr>
      <w:r>
        <w:rPr>
          <w:rFonts w:eastAsia="黑体"/>
          <w:sz w:val="32"/>
          <w:szCs w:val="32"/>
          <w:lang w:val="zh-CN"/>
        </w:rPr>
        <w:t>二、项目实施及管理情况</w:t>
      </w:r>
    </w:p>
    <w:p>
      <w:pPr>
        <w:adjustRightInd w:val="0"/>
        <w:snapToGrid w:val="0"/>
        <w:spacing w:line="600" w:lineRule="exact"/>
        <w:ind w:firstLine="720"/>
        <w:rPr>
          <w:rFonts w:eastAsia="楷体"/>
          <w:bCs/>
          <w:sz w:val="32"/>
          <w:szCs w:val="32"/>
          <w:lang w:val="zh-CN"/>
        </w:rPr>
      </w:pPr>
      <w:r>
        <w:rPr>
          <w:rFonts w:eastAsia="楷体"/>
          <w:bCs/>
          <w:sz w:val="32"/>
          <w:szCs w:val="32"/>
          <w:lang w:val="zh-CN"/>
        </w:rPr>
        <w:tab/>
      </w:r>
      <w:r>
        <w:rPr>
          <w:rFonts w:eastAsia="楷体"/>
          <w:bCs/>
          <w:sz w:val="32"/>
          <w:szCs w:val="32"/>
          <w:lang w:val="zh-CN"/>
        </w:rPr>
        <w:t>（一）资金计划、到位及使用情况。</w:t>
      </w:r>
    </w:p>
    <w:p>
      <w:pPr>
        <w:adjustRightInd w:val="0"/>
        <w:snapToGrid w:val="0"/>
        <w:spacing w:line="600" w:lineRule="exact"/>
        <w:ind w:firstLine="720"/>
        <w:rPr>
          <w:rFonts w:eastAsia="仿宋"/>
          <w:color w:val="000000"/>
          <w:kern w:val="0"/>
          <w:sz w:val="32"/>
          <w:szCs w:val="32"/>
        </w:rPr>
      </w:pPr>
      <w:r>
        <w:rPr>
          <w:rFonts w:eastAsia="仿宋"/>
          <w:sz w:val="32"/>
          <w:szCs w:val="32"/>
          <w:lang w:val="zh-CN"/>
        </w:rPr>
        <w:t>1．资金计划及到位。</w:t>
      </w:r>
      <w:r>
        <w:rPr>
          <w:rFonts w:eastAsia="仿宋"/>
          <w:color w:val="000000"/>
          <w:kern w:val="0"/>
          <w:sz w:val="32"/>
          <w:szCs w:val="32"/>
          <w:lang w:val="zh-CN"/>
        </w:rPr>
        <w:t>“</w:t>
      </w:r>
      <w:r>
        <w:rPr>
          <w:rFonts w:eastAsia="仿宋"/>
          <w:color w:val="000000"/>
          <w:kern w:val="0"/>
          <w:sz w:val="32"/>
          <w:szCs w:val="32"/>
        </w:rPr>
        <w:t>饮水安全、病险水库整治等农村水利重大项目管理费</w:t>
      </w:r>
      <w:r>
        <w:rPr>
          <w:rFonts w:eastAsia="仿宋"/>
          <w:color w:val="000000"/>
          <w:kern w:val="0"/>
          <w:sz w:val="32"/>
          <w:szCs w:val="32"/>
          <w:lang w:val="zh-CN"/>
        </w:rPr>
        <w:t>”项目资金</w:t>
      </w:r>
      <w:r>
        <w:rPr>
          <w:rFonts w:eastAsia="仿宋"/>
          <w:color w:val="000000"/>
          <w:kern w:val="0"/>
          <w:sz w:val="32"/>
          <w:szCs w:val="32"/>
        </w:rPr>
        <w:t>6</w:t>
      </w:r>
      <w:r>
        <w:rPr>
          <w:rFonts w:eastAsia="仿宋"/>
          <w:kern w:val="0"/>
          <w:sz w:val="32"/>
          <w:szCs w:val="32"/>
        </w:rPr>
        <w:t>3</w:t>
      </w:r>
      <w:r>
        <w:rPr>
          <w:rFonts w:eastAsia="仿宋"/>
          <w:kern w:val="0"/>
          <w:sz w:val="32"/>
          <w:szCs w:val="32"/>
          <w:lang w:val="zh-CN"/>
        </w:rPr>
        <w:t>万元，全部为省级财政拨款，该笔款项于2020年</w:t>
      </w:r>
      <w:r>
        <w:rPr>
          <w:rFonts w:eastAsia="仿宋"/>
          <w:color w:val="000000"/>
          <w:kern w:val="0"/>
          <w:sz w:val="32"/>
          <w:szCs w:val="32"/>
        </w:rPr>
        <w:t>6月一次性到位，到位率100%。</w:t>
      </w:r>
    </w:p>
    <w:p>
      <w:pPr>
        <w:adjustRightInd w:val="0"/>
        <w:snapToGrid w:val="0"/>
        <w:spacing w:line="600" w:lineRule="exact"/>
        <w:ind w:firstLine="640" w:firstLineChars="200"/>
        <w:rPr>
          <w:rFonts w:eastAsia="仿宋"/>
          <w:color w:val="000000"/>
          <w:kern w:val="0"/>
          <w:sz w:val="32"/>
          <w:szCs w:val="32"/>
        </w:rPr>
      </w:pPr>
      <w:r>
        <w:rPr>
          <w:rFonts w:eastAsia="仿宋"/>
          <w:sz w:val="32"/>
          <w:szCs w:val="32"/>
        </w:rPr>
        <w:t xml:space="preserve">2. </w:t>
      </w:r>
      <w:r>
        <w:rPr>
          <w:rFonts w:eastAsia="仿宋"/>
          <w:sz w:val="32"/>
          <w:szCs w:val="32"/>
          <w:lang w:val="zh-CN"/>
        </w:rPr>
        <w:t>资金使用。</w:t>
      </w:r>
      <w:r>
        <w:rPr>
          <w:rFonts w:eastAsia="仿宋"/>
          <w:color w:val="000000"/>
          <w:kern w:val="0"/>
          <w:sz w:val="32"/>
          <w:szCs w:val="32"/>
        </w:rPr>
        <w:t>截至2020年末，该项目实际支出52.06万元，主要用于聘用人员</w:t>
      </w:r>
      <w:r>
        <w:rPr>
          <w:rFonts w:eastAsia="仿宋"/>
          <w:color w:val="000000"/>
          <w:kern w:val="0"/>
          <w:sz w:val="32"/>
          <w:szCs w:val="32"/>
          <w:lang w:val="zh-CN"/>
        </w:rPr>
        <w:t>工资</w:t>
      </w:r>
      <w:r>
        <w:rPr>
          <w:rFonts w:hint="eastAsia" w:eastAsia="仿宋"/>
          <w:color w:val="000000"/>
          <w:kern w:val="0"/>
          <w:sz w:val="32"/>
          <w:szCs w:val="32"/>
          <w:lang w:val="zh-CN"/>
        </w:rPr>
        <w:t>、</w:t>
      </w:r>
      <w:r>
        <w:rPr>
          <w:rFonts w:eastAsia="仿宋"/>
          <w:color w:val="000000"/>
          <w:kern w:val="0"/>
          <w:sz w:val="32"/>
          <w:szCs w:val="32"/>
          <w:lang w:val="zh-CN"/>
        </w:rPr>
        <w:t>五险一金及相关福利发放，四川农村水利网升级改造、中型灌区续建配套与节水改造</w:t>
      </w:r>
      <w:r>
        <w:rPr>
          <w:rFonts w:hint="eastAsia" w:eastAsia="仿宋"/>
          <w:color w:val="000000"/>
          <w:kern w:val="0"/>
          <w:sz w:val="32"/>
          <w:szCs w:val="32"/>
          <w:lang w:val="zh-CN"/>
        </w:rPr>
        <w:t>“</w:t>
      </w:r>
      <w:r>
        <w:rPr>
          <w:rFonts w:eastAsia="仿宋"/>
          <w:color w:val="000000"/>
          <w:kern w:val="0"/>
          <w:sz w:val="32"/>
          <w:szCs w:val="32"/>
          <w:lang w:val="zh-CN"/>
        </w:rPr>
        <w:t>十四五</w:t>
      </w:r>
      <w:r>
        <w:rPr>
          <w:rFonts w:hint="eastAsia" w:eastAsia="仿宋"/>
          <w:color w:val="000000"/>
          <w:kern w:val="0"/>
          <w:sz w:val="32"/>
          <w:szCs w:val="32"/>
          <w:lang w:val="zh-CN"/>
        </w:rPr>
        <w:t>”</w:t>
      </w:r>
      <w:r>
        <w:rPr>
          <w:rFonts w:eastAsia="仿宋"/>
          <w:color w:val="000000"/>
          <w:kern w:val="0"/>
          <w:sz w:val="32"/>
          <w:szCs w:val="32"/>
          <w:lang w:val="zh-CN"/>
        </w:rPr>
        <w:t>规划设计费用、水利风景区创建申报资料编制工作等，</w:t>
      </w:r>
      <w:r>
        <w:rPr>
          <w:rFonts w:eastAsia="仿宋"/>
          <w:color w:val="000000"/>
          <w:kern w:val="0"/>
          <w:sz w:val="32"/>
          <w:szCs w:val="32"/>
        </w:rPr>
        <w:t>相关资金支付与预算相符且合规合法。</w:t>
      </w:r>
    </w:p>
    <w:p>
      <w:pPr>
        <w:adjustRightInd w:val="0"/>
        <w:snapToGrid w:val="0"/>
        <w:spacing w:line="600" w:lineRule="exact"/>
        <w:ind w:firstLine="720"/>
        <w:rPr>
          <w:rFonts w:eastAsia="楷体"/>
          <w:bCs/>
          <w:sz w:val="32"/>
          <w:szCs w:val="32"/>
          <w:lang w:val="zh-CN"/>
        </w:rPr>
      </w:pPr>
      <w:r>
        <w:rPr>
          <w:rFonts w:eastAsia="楷体"/>
          <w:bCs/>
          <w:sz w:val="32"/>
          <w:szCs w:val="32"/>
          <w:lang w:val="zh-CN"/>
        </w:rPr>
        <w:t>（二）项目财务管理情况。</w:t>
      </w:r>
    </w:p>
    <w:p>
      <w:pPr>
        <w:pStyle w:val="2"/>
        <w:spacing w:before="93" w:line="600" w:lineRule="exact"/>
        <w:ind w:firstLine="640"/>
        <w:rPr>
          <w:rFonts w:ascii="Times New Roman" w:eastAsia="仿宋"/>
          <w:sz w:val="32"/>
          <w:szCs w:val="32"/>
        </w:rPr>
      </w:pPr>
      <w:r>
        <w:rPr>
          <w:rFonts w:ascii="Times New Roman" w:eastAsia="仿宋"/>
          <w:sz w:val="32"/>
          <w:szCs w:val="32"/>
        </w:rPr>
        <w:t>我单位适用政府会计准则制度，该项目相关支出严格按照《政府收支分类科目》中“部门预算支出经济分类科目”的款级科目进行明细核算，同时在“项目支出”明细科目下单独设立“饮水安全、病险水库整治等农村水利重大项目管理费”进行明细核算，财务处理及时，会计核算规范。</w:t>
      </w:r>
    </w:p>
    <w:p>
      <w:pPr>
        <w:adjustRightInd w:val="0"/>
        <w:snapToGrid w:val="0"/>
        <w:spacing w:line="600" w:lineRule="exact"/>
        <w:ind w:firstLine="320" w:firstLineChars="100"/>
        <w:rPr>
          <w:rFonts w:eastAsia="楷体"/>
          <w:bCs/>
          <w:sz w:val="32"/>
          <w:szCs w:val="32"/>
          <w:lang w:val="zh-CN"/>
        </w:rPr>
      </w:pPr>
      <w:r>
        <w:rPr>
          <w:rFonts w:eastAsia="仿宋"/>
          <w:sz w:val="32"/>
          <w:szCs w:val="32"/>
        </w:rPr>
        <w:t xml:space="preserve"> </w:t>
      </w:r>
      <w:r>
        <w:rPr>
          <w:rFonts w:eastAsia="楷体"/>
          <w:bCs/>
          <w:sz w:val="32"/>
          <w:szCs w:val="32"/>
        </w:rPr>
        <w:t xml:space="preserve"> </w:t>
      </w:r>
      <w:r>
        <w:rPr>
          <w:rFonts w:eastAsia="楷体"/>
          <w:bCs/>
          <w:sz w:val="32"/>
          <w:szCs w:val="32"/>
          <w:lang w:val="zh-CN"/>
        </w:rPr>
        <w:t>（三）项目组织实施情况。</w:t>
      </w:r>
    </w:p>
    <w:p>
      <w:pPr>
        <w:pStyle w:val="2"/>
        <w:spacing w:before="93" w:line="600" w:lineRule="exact"/>
        <w:ind w:firstLine="640" w:firstLineChars="200"/>
        <w:rPr>
          <w:rFonts w:ascii="Times New Roman" w:eastAsia="仿宋"/>
          <w:sz w:val="32"/>
          <w:szCs w:val="32"/>
        </w:rPr>
      </w:pPr>
      <w:r>
        <w:rPr>
          <w:rFonts w:ascii="Times New Roman" w:eastAsia="仿宋"/>
          <w:kern w:val="2"/>
          <w:sz w:val="32"/>
          <w:szCs w:val="32"/>
        </w:rPr>
        <w:t>该项目主要由本单位各业务科室进行实施，购买服务严格按照四川省农田水利局自行采购委托业务费流程进行。委托业务执行党风廉政建设有关规定，局纪检部门全程介入监督，并接受干部职工监督。</w:t>
      </w:r>
    </w:p>
    <w:p>
      <w:pPr>
        <w:adjustRightInd w:val="0"/>
        <w:snapToGrid w:val="0"/>
        <w:spacing w:line="600" w:lineRule="exact"/>
        <w:ind w:firstLine="640" w:firstLineChars="200"/>
        <w:rPr>
          <w:rFonts w:eastAsia="黑体"/>
          <w:sz w:val="32"/>
          <w:szCs w:val="32"/>
          <w:lang w:val="zh-CN"/>
        </w:rPr>
      </w:pPr>
      <w:r>
        <w:rPr>
          <w:rFonts w:eastAsia="黑体"/>
          <w:sz w:val="32"/>
          <w:szCs w:val="32"/>
          <w:lang w:val="zh-CN"/>
        </w:rPr>
        <w:t>三、项目绩效情况</w:t>
      </w:r>
      <w:r>
        <w:rPr>
          <w:rFonts w:eastAsia="黑体"/>
          <w:sz w:val="32"/>
          <w:szCs w:val="32"/>
          <w:lang w:val="zh-CN"/>
        </w:rPr>
        <w:tab/>
      </w:r>
    </w:p>
    <w:p>
      <w:pPr>
        <w:adjustRightInd w:val="0"/>
        <w:snapToGrid w:val="0"/>
        <w:spacing w:line="600" w:lineRule="exact"/>
        <w:ind w:firstLine="640" w:firstLineChars="200"/>
        <w:rPr>
          <w:rFonts w:eastAsia="楷体"/>
          <w:bCs/>
          <w:sz w:val="32"/>
          <w:szCs w:val="32"/>
          <w:lang w:val="zh-CN"/>
        </w:rPr>
      </w:pPr>
      <w:r>
        <w:rPr>
          <w:rFonts w:eastAsia="楷体"/>
          <w:bCs/>
          <w:sz w:val="32"/>
          <w:szCs w:val="32"/>
          <w:lang w:val="zh-CN"/>
        </w:rPr>
        <w:t>（一）项目完成情况。</w:t>
      </w:r>
    </w:p>
    <w:p>
      <w:pPr>
        <w:adjustRightInd w:val="0"/>
        <w:snapToGrid w:val="0"/>
        <w:spacing w:line="600" w:lineRule="exact"/>
        <w:ind w:firstLine="720"/>
        <w:rPr>
          <w:rFonts w:eastAsia="仿宋"/>
          <w:sz w:val="32"/>
          <w:szCs w:val="32"/>
        </w:rPr>
      </w:pPr>
      <w:r>
        <w:rPr>
          <w:rFonts w:eastAsia="仿宋"/>
          <w:sz w:val="32"/>
          <w:szCs w:val="32"/>
        </w:rPr>
        <w:t>截至2020年12月底，“饮水安全、病险水库整治等农村水利重大项目管理费”已完成支付。一是按时支付聘用职工工资，保障单位正常运转；二是形成《四川省中型灌区续建配套改造与现代化改造“十四五”规划》设计报告1份；三是完成农村水利网网页、栏目等功能升级改造工作；四是完成水利风景区材料编制工作。</w:t>
      </w:r>
    </w:p>
    <w:p>
      <w:pPr>
        <w:spacing w:line="600" w:lineRule="exact"/>
        <w:ind w:firstLine="640" w:firstLineChars="200"/>
        <w:rPr>
          <w:rFonts w:eastAsia="楷体"/>
          <w:bCs/>
          <w:sz w:val="32"/>
          <w:szCs w:val="32"/>
          <w:lang w:val="zh-CN"/>
        </w:rPr>
      </w:pPr>
      <w:r>
        <w:rPr>
          <w:rFonts w:eastAsia="楷体"/>
          <w:bCs/>
          <w:sz w:val="32"/>
          <w:szCs w:val="32"/>
          <w:lang w:val="zh-CN"/>
        </w:rPr>
        <w:t>（二）项目效益情况。</w:t>
      </w:r>
    </w:p>
    <w:p>
      <w:pPr>
        <w:spacing w:line="600" w:lineRule="exact"/>
        <w:ind w:firstLine="640" w:firstLineChars="200"/>
        <w:rPr>
          <w:rFonts w:eastAsia="仿宋"/>
          <w:sz w:val="32"/>
          <w:szCs w:val="32"/>
        </w:rPr>
      </w:pPr>
      <w:r>
        <w:rPr>
          <w:rFonts w:eastAsia="仿宋"/>
          <w:sz w:val="32"/>
          <w:szCs w:val="32"/>
        </w:rPr>
        <w:t>一是保障单位运转，通过聘用驾驶员等人，保障单位农村水利工程汛中暗访及安全度汛检查工作顺利开展；二是强化农村水利宣传工作，通过网络升级改造，加强对新时期农村水利改革发展宣传工作，夯实四川农村水利网络宣传阵地；三是强化农村水利工程运行管理能力，通过技术咨询、委托业务等方式，</w:t>
      </w:r>
      <w:r>
        <w:rPr>
          <w:rFonts w:eastAsia="仿宋"/>
          <w:sz w:val="32"/>
          <w:szCs w:val="32"/>
          <w:lang w:val="zh-CN"/>
        </w:rPr>
        <w:t>加强</w:t>
      </w:r>
      <w:r>
        <w:rPr>
          <w:rFonts w:eastAsia="仿宋"/>
          <w:sz w:val="32"/>
          <w:szCs w:val="32"/>
        </w:rPr>
        <w:t>对灌区、水利风景区等农村水利重大项目管理能力。</w:t>
      </w:r>
    </w:p>
    <w:p>
      <w:pPr>
        <w:adjustRightInd w:val="0"/>
        <w:snapToGrid w:val="0"/>
        <w:spacing w:line="600" w:lineRule="exact"/>
        <w:ind w:firstLine="640" w:firstLineChars="200"/>
        <w:rPr>
          <w:rFonts w:eastAsia="黑体"/>
          <w:sz w:val="32"/>
          <w:szCs w:val="32"/>
          <w:lang w:val="zh-CN"/>
        </w:rPr>
      </w:pPr>
      <w:r>
        <w:rPr>
          <w:rFonts w:eastAsia="黑体"/>
          <w:sz w:val="32"/>
          <w:szCs w:val="32"/>
          <w:lang w:val="zh-CN"/>
        </w:rPr>
        <w:t>四、问题及建议</w:t>
      </w:r>
    </w:p>
    <w:p>
      <w:pPr>
        <w:pStyle w:val="2"/>
        <w:spacing w:before="93" w:line="600" w:lineRule="exact"/>
        <w:ind w:firstLine="640" w:firstLineChars="200"/>
        <w:rPr>
          <w:rFonts w:ascii="Times New Roman" w:eastAsia="仿宋"/>
          <w:kern w:val="2"/>
          <w:sz w:val="32"/>
          <w:szCs w:val="32"/>
          <w:lang w:val="zh-CN"/>
        </w:rPr>
      </w:pPr>
      <w:r>
        <w:rPr>
          <w:rFonts w:ascii="Times New Roman" w:eastAsia="仿宋"/>
          <w:kern w:val="2"/>
          <w:sz w:val="32"/>
          <w:szCs w:val="32"/>
          <w:lang w:val="zh-CN"/>
        </w:rPr>
        <w:t>无</w:t>
      </w:r>
      <w:r>
        <w:rPr>
          <w:rFonts w:hint="eastAsia" w:ascii="Times New Roman" w:eastAsia="仿宋"/>
          <w:kern w:val="2"/>
          <w:sz w:val="32"/>
          <w:szCs w:val="32"/>
          <w:lang w:val="zh-CN"/>
        </w:rPr>
        <w:t>。</w:t>
      </w:r>
    </w:p>
    <w:p>
      <w:pPr>
        <w:spacing w:line="600" w:lineRule="exact"/>
        <w:jc w:val="center"/>
        <w:rPr>
          <w:rFonts w:eastAsia="黑体"/>
          <w:color w:val="000000"/>
          <w:sz w:val="44"/>
          <w:szCs w:val="44"/>
        </w:rPr>
      </w:pPr>
      <w:bookmarkStart w:id="71" w:name="_Toc15396618"/>
    </w:p>
    <w:p>
      <w:pPr>
        <w:spacing w:line="600" w:lineRule="exact"/>
        <w:jc w:val="center"/>
        <w:rPr>
          <w:rFonts w:eastAsia="黑体"/>
          <w:color w:val="000000"/>
          <w:sz w:val="44"/>
          <w:szCs w:val="44"/>
        </w:rPr>
      </w:pPr>
    </w:p>
    <w:p>
      <w:pPr>
        <w:spacing w:line="600" w:lineRule="exact"/>
        <w:jc w:val="center"/>
        <w:rPr>
          <w:rFonts w:eastAsia="黑体"/>
          <w:color w:val="000000"/>
          <w:sz w:val="44"/>
          <w:szCs w:val="44"/>
        </w:rPr>
      </w:pPr>
    </w:p>
    <w:p>
      <w:pPr>
        <w:spacing w:line="600" w:lineRule="exact"/>
        <w:jc w:val="center"/>
        <w:rPr>
          <w:rFonts w:eastAsia="黑体"/>
          <w:color w:val="000000"/>
          <w:sz w:val="44"/>
          <w:szCs w:val="44"/>
        </w:rPr>
      </w:pPr>
    </w:p>
    <w:p>
      <w:pPr>
        <w:spacing w:line="600" w:lineRule="exact"/>
        <w:jc w:val="center"/>
        <w:rPr>
          <w:rFonts w:eastAsia="黑体"/>
          <w:color w:val="000000"/>
          <w:sz w:val="44"/>
          <w:szCs w:val="44"/>
        </w:rPr>
      </w:pPr>
    </w:p>
    <w:p>
      <w:pPr>
        <w:spacing w:line="600" w:lineRule="exact"/>
        <w:jc w:val="center"/>
        <w:rPr>
          <w:rFonts w:eastAsia="黑体"/>
          <w:color w:val="000000"/>
          <w:sz w:val="44"/>
          <w:szCs w:val="44"/>
        </w:rPr>
      </w:pPr>
    </w:p>
    <w:p>
      <w:pPr>
        <w:spacing w:line="600" w:lineRule="exact"/>
        <w:jc w:val="center"/>
        <w:rPr>
          <w:rFonts w:eastAsia="黑体"/>
          <w:color w:val="000000"/>
          <w:sz w:val="44"/>
          <w:szCs w:val="44"/>
        </w:rPr>
      </w:pPr>
    </w:p>
    <w:p>
      <w:pPr>
        <w:spacing w:line="600" w:lineRule="exact"/>
        <w:jc w:val="center"/>
        <w:rPr>
          <w:rFonts w:eastAsia="黑体"/>
          <w:color w:val="000000"/>
          <w:sz w:val="44"/>
          <w:szCs w:val="44"/>
        </w:rPr>
      </w:pPr>
    </w:p>
    <w:p>
      <w:pPr>
        <w:spacing w:line="600" w:lineRule="exact"/>
        <w:jc w:val="center"/>
        <w:rPr>
          <w:rFonts w:eastAsia="黑体"/>
          <w:color w:val="000000"/>
          <w:sz w:val="44"/>
          <w:szCs w:val="44"/>
        </w:rPr>
      </w:pPr>
    </w:p>
    <w:p>
      <w:pPr>
        <w:spacing w:line="600" w:lineRule="exact"/>
        <w:jc w:val="center"/>
        <w:rPr>
          <w:rFonts w:eastAsia="黑体"/>
          <w:color w:val="000000"/>
          <w:sz w:val="44"/>
          <w:szCs w:val="44"/>
        </w:rPr>
      </w:pPr>
    </w:p>
    <w:p>
      <w:pPr>
        <w:spacing w:line="600" w:lineRule="exact"/>
        <w:jc w:val="center"/>
        <w:rPr>
          <w:rFonts w:eastAsia="黑体"/>
          <w:color w:val="000000"/>
          <w:sz w:val="44"/>
          <w:szCs w:val="44"/>
        </w:rPr>
      </w:pPr>
    </w:p>
    <w:p>
      <w:pPr>
        <w:spacing w:line="600" w:lineRule="exact"/>
        <w:jc w:val="center"/>
        <w:rPr>
          <w:rFonts w:eastAsia="黑体"/>
          <w:color w:val="000000"/>
          <w:sz w:val="44"/>
          <w:szCs w:val="44"/>
        </w:rPr>
      </w:pPr>
    </w:p>
    <w:p>
      <w:pPr>
        <w:spacing w:line="600" w:lineRule="exact"/>
        <w:jc w:val="center"/>
        <w:rPr>
          <w:rFonts w:eastAsia="黑体"/>
          <w:color w:val="000000"/>
          <w:sz w:val="44"/>
          <w:szCs w:val="44"/>
        </w:rPr>
      </w:pPr>
    </w:p>
    <w:p>
      <w:pPr>
        <w:spacing w:line="600" w:lineRule="exact"/>
        <w:jc w:val="center"/>
        <w:rPr>
          <w:rFonts w:eastAsia="黑体"/>
          <w:color w:val="000000"/>
          <w:sz w:val="44"/>
          <w:szCs w:val="44"/>
        </w:rPr>
      </w:pPr>
    </w:p>
    <w:p>
      <w:pPr>
        <w:spacing w:line="600" w:lineRule="exact"/>
        <w:jc w:val="center"/>
        <w:rPr>
          <w:rFonts w:eastAsia="黑体"/>
          <w:color w:val="000000"/>
          <w:sz w:val="44"/>
          <w:szCs w:val="44"/>
        </w:rPr>
      </w:pPr>
    </w:p>
    <w:p>
      <w:pPr>
        <w:spacing w:line="600" w:lineRule="exact"/>
        <w:jc w:val="center"/>
        <w:rPr>
          <w:rFonts w:eastAsia="黑体"/>
          <w:color w:val="000000"/>
          <w:sz w:val="44"/>
          <w:szCs w:val="44"/>
        </w:rPr>
      </w:pPr>
    </w:p>
    <w:p>
      <w:pPr>
        <w:spacing w:line="600" w:lineRule="exact"/>
        <w:jc w:val="center"/>
        <w:rPr>
          <w:rFonts w:eastAsia="黑体"/>
          <w:color w:val="000000"/>
          <w:sz w:val="44"/>
          <w:szCs w:val="44"/>
        </w:rPr>
      </w:pPr>
    </w:p>
    <w:p>
      <w:pPr>
        <w:pStyle w:val="2"/>
        <w:spacing w:before="93"/>
        <w:rPr>
          <w:rFonts w:ascii="Times New Roman" w:eastAsia="黑体"/>
          <w:color w:val="000000"/>
          <w:sz w:val="44"/>
          <w:szCs w:val="44"/>
        </w:rPr>
      </w:pPr>
    </w:p>
    <w:p>
      <w:pPr>
        <w:pStyle w:val="2"/>
        <w:spacing w:before="93"/>
        <w:rPr>
          <w:rFonts w:ascii="Times New Roman" w:eastAsia="黑体"/>
          <w:color w:val="000000"/>
          <w:sz w:val="44"/>
          <w:szCs w:val="44"/>
        </w:rPr>
      </w:pPr>
    </w:p>
    <w:p>
      <w:pPr>
        <w:pStyle w:val="3"/>
        <w:jc w:val="center"/>
        <w:rPr>
          <w:rFonts w:eastAsia="仿宋"/>
          <w:b w:val="0"/>
          <w:color w:val="000000"/>
        </w:rPr>
      </w:pPr>
      <w:bookmarkStart w:id="72" w:name="_Toc29831"/>
      <w:r>
        <w:t>第五部分 附表</w:t>
      </w:r>
      <w:bookmarkEnd w:id="69"/>
      <w:bookmarkEnd w:id="71"/>
      <w:bookmarkEnd w:id="72"/>
      <w:bookmarkStart w:id="73" w:name="_Toc15396619"/>
    </w:p>
    <w:p>
      <w:pPr>
        <w:pStyle w:val="4"/>
        <w:ind w:firstLine="640"/>
        <w:rPr>
          <w:rFonts w:ascii="Times New Roman" w:hAnsi="Times New Roman" w:eastAsia="仿宋" w:cs="Times New Roman"/>
          <w:color w:val="000000"/>
        </w:rPr>
      </w:pPr>
      <w:bookmarkStart w:id="74" w:name="_Toc13448"/>
      <w:r>
        <w:rPr>
          <w:rFonts w:ascii="Times New Roman" w:hAnsi="Times New Roman" w:eastAsia="仿宋" w:cs="Times New Roman"/>
          <w:color w:val="000000"/>
        </w:rPr>
        <w:t>一、收</w:t>
      </w:r>
      <w:r>
        <w:rPr>
          <w:rStyle w:val="31"/>
          <w:rFonts w:ascii="Times New Roman" w:hAnsi="Times New Roman" w:eastAsia="仿宋" w:cs="Times New Roman"/>
          <w:bCs w:val="0"/>
        </w:rPr>
        <w:t>入支出决算总表</w:t>
      </w:r>
      <w:bookmarkEnd w:id="73"/>
      <w:bookmarkEnd w:id="74"/>
    </w:p>
    <w:p>
      <w:pPr>
        <w:pStyle w:val="4"/>
        <w:ind w:firstLine="640"/>
        <w:rPr>
          <w:rFonts w:ascii="Times New Roman" w:hAnsi="Times New Roman" w:eastAsia="仿宋" w:cs="Times New Roman"/>
          <w:color w:val="000000"/>
        </w:rPr>
      </w:pPr>
      <w:bookmarkStart w:id="75" w:name="_Toc15396620"/>
      <w:bookmarkStart w:id="76" w:name="_Toc16405"/>
      <w:r>
        <w:rPr>
          <w:rFonts w:ascii="Times New Roman" w:hAnsi="Times New Roman" w:eastAsia="仿宋" w:cs="Times New Roman"/>
          <w:color w:val="000000"/>
        </w:rPr>
        <w:t>二、收</w:t>
      </w:r>
      <w:r>
        <w:rPr>
          <w:rStyle w:val="31"/>
          <w:rFonts w:ascii="Times New Roman" w:hAnsi="Times New Roman" w:eastAsia="仿宋" w:cs="Times New Roman"/>
          <w:bCs w:val="0"/>
        </w:rPr>
        <w:t>入决算表</w:t>
      </w:r>
      <w:bookmarkEnd w:id="75"/>
      <w:bookmarkEnd w:id="76"/>
    </w:p>
    <w:p>
      <w:pPr>
        <w:pStyle w:val="4"/>
        <w:ind w:firstLine="640"/>
        <w:rPr>
          <w:rFonts w:ascii="Times New Roman" w:hAnsi="Times New Roman" w:eastAsia="仿宋" w:cs="Times New Roman"/>
          <w:color w:val="000000"/>
        </w:rPr>
      </w:pPr>
      <w:bookmarkStart w:id="77" w:name="_Toc20720"/>
      <w:bookmarkStart w:id="78" w:name="_Toc15396621"/>
      <w:r>
        <w:rPr>
          <w:rStyle w:val="31"/>
          <w:rFonts w:ascii="Times New Roman" w:hAnsi="Times New Roman" w:eastAsia="仿宋" w:cs="Times New Roman"/>
          <w:bCs w:val="0"/>
        </w:rPr>
        <w:t>三、</w:t>
      </w:r>
      <w:r>
        <w:rPr>
          <w:rFonts w:ascii="Times New Roman" w:hAnsi="Times New Roman" w:eastAsia="仿宋" w:cs="Times New Roman"/>
          <w:color w:val="000000"/>
        </w:rPr>
        <w:t>支</w:t>
      </w:r>
      <w:r>
        <w:rPr>
          <w:rStyle w:val="31"/>
          <w:rFonts w:ascii="Times New Roman" w:hAnsi="Times New Roman" w:eastAsia="仿宋" w:cs="Times New Roman"/>
          <w:bCs w:val="0"/>
        </w:rPr>
        <w:t>出决算表</w:t>
      </w:r>
      <w:bookmarkEnd w:id="77"/>
      <w:bookmarkEnd w:id="78"/>
    </w:p>
    <w:p>
      <w:pPr>
        <w:pStyle w:val="4"/>
        <w:ind w:firstLine="640"/>
        <w:rPr>
          <w:rFonts w:ascii="Times New Roman" w:hAnsi="Times New Roman" w:eastAsia="仿宋" w:cs="Times New Roman"/>
          <w:color w:val="000000"/>
        </w:rPr>
      </w:pPr>
      <w:bookmarkStart w:id="79" w:name="_Toc331"/>
      <w:bookmarkStart w:id="80" w:name="_Toc15396622"/>
      <w:r>
        <w:rPr>
          <w:rStyle w:val="31"/>
          <w:rFonts w:ascii="Times New Roman" w:hAnsi="Times New Roman" w:eastAsia="仿宋" w:cs="Times New Roman"/>
          <w:bCs w:val="0"/>
        </w:rPr>
        <w:t>四、</w:t>
      </w:r>
      <w:r>
        <w:rPr>
          <w:rFonts w:ascii="Times New Roman" w:hAnsi="Times New Roman" w:eastAsia="仿宋" w:cs="Times New Roman"/>
          <w:color w:val="000000"/>
        </w:rPr>
        <w:t>财</w:t>
      </w:r>
      <w:r>
        <w:rPr>
          <w:rStyle w:val="31"/>
          <w:rFonts w:ascii="Times New Roman" w:hAnsi="Times New Roman" w:eastAsia="仿宋" w:cs="Times New Roman"/>
          <w:bCs w:val="0"/>
        </w:rPr>
        <w:t>政拨款收入支出决算总表</w:t>
      </w:r>
      <w:bookmarkEnd w:id="79"/>
      <w:bookmarkEnd w:id="80"/>
    </w:p>
    <w:p>
      <w:pPr>
        <w:pStyle w:val="4"/>
        <w:ind w:firstLine="640"/>
        <w:rPr>
          <w:rStyle w:val="31"/>
          <w:rFonts w:ascii="Times New Roman" w:hAnsi="Times New Roman" w:eastAsia="仿宋" w:cs="Times New Roman"/>
          <w:bCs w:val="0"/>
        </w:rPr>
      </w:pPr>
      <w:bookmarkStart w:id="81" w:name="_Toc15396623"/>
      <w:bookmarkStart w:id="82" w:name="_Toc3872"/>
      <w:r>
        <w:rPr>
          <w:rStyle w:val="31"/>
          <w:rFonts w:ascii="Times New Roman" w:hAnsi="Times New Roman" w:eastAsia="仿宋" w:cs="Times New Roman"/>
          <w:bCs w:val="0"/>
        </w:rPr>
        <w:t>五、</w:t>
      </w:r>
      <w:r>
        <w:rPr>
          <w:rFonts w:ascii="Times New Roman" w:hAnsi="Times New Roman" w:eastAsia="仿宋" w:cs="Times New Roman"/>
          <w:color w:val="000000"/>
        </w:rPr>
        <w:t>财</w:t>
      </w:r>
      <w:r>
        <w:rPr>
          <w:rStyle w:val="31"/>
          <w:rFonts w:ascii="Times New Roman" w:hAnsi="Times New Roman" w:eastAsia="仿宋" w:cs="Times New Roman"/>
          <w:bCs w:val="0"/>
        </w:rPr>
        <w:t>政拨款支出决算明细表</w:t>
      </w:r>
      <w:bookmarkEnd w:id="81"/>
      <w:bookmarkEnd w:id="82"/>
      <w:bookmarkStart w:id="83" w:name="_Toc15396624"/>
    </w:p>
    <w:p>
      <w:pPr>
        <w:pStyle w:val="4"/>
        <w:ind w:firstLine="640"/>
        <w:rPr>
          <w:rFonts w:ascii="Times New Roman" w:hAnsi="Times New Roman" w:eastAsia="仿宋" w:cs="Times New Roman"/>
          <w:color w:val="000000"/>
        </w:rPr>
      </w:pPr>
      <w:bookmarkStart w:id="84" w:name="_Toc29155"/>
      <w:r>
        <w:rPr>
          <w:rStyle w:val="31"/>
          <w:rFonts w:ascii="Times New Roman" w:hAnsi="Times New Roman" w:eastAsia="仿宋" w:cs="Times New Roman"/>
          <w:bCs w:val="0"/>
        </w:rPr>
        <w:t>六、</w:t>
      </w:r>
      <w:r>
        <w:rPr>
          <w:rFonts w:ascii="Times New Roman" w:hAnsi="Times New Roman" w:eastAsia="仿宋" w:cs="Times New Roman"/>
          <w:color w:val="000000"/>
        </w:rPr>
        <w:t>一</w:t>
      </w:r>
      <w:r>
        <w:rPr>
          <w:rStyle w:val="31"/>
          <w:rFonts w:ascii="Times New Roman" w:hAnsi="Times New Roman" w:eastAsia="仿宋" w:cs="Times New Roman"/>
          <w:bCs w:val="0"/>
        </w:rPr>
        <w:t>般公共预算财政拨款支出决算表</w:t>
      </w:r>
      <w:bookmarkEnd w:id="83"/>
      <w:bookmarkEnd w:id="84"/>
    </w:p>
    <w:p>
      <w:pPr>
        <w:pStyle w:val="4"/>
        <w:ind w:firstLine="640"/>
        <w:rPr>
          <w:rFonts w:ascii="Times New Roman" w:hAnsi="Times New Roman" w:eastAsia="仿宋" w:cs="Times New Roman"/>
          <w:color w:val="000000"/>
        </w:rPr>
      </w:pPr>
      <w:bookmarkStart w:id="85" w:name="_Toc15396625"/>
      <w:bookmarkStart w:id="86" w:name="_Toc10762"/>
      <w:r>
        <w:rPr>
          <w:rStyle w:val="31"/>
          <w:rFonts w:ascii="Times New Roman" w:hAnsi="Times New Roman" w:eastAsia="仿宋" w:cs="Times New Roman"/>
          <w:bCs w:val="0"/>
        </w:rPr>
        <w:t>七、</w:t>
      </w:r>
      <w:r>
        <w:rPr>
          <w:rFonts w:ascii="Times New Roman" w:hAnsi="Times New Roman" w:eastAsia="仿宋" w:cs="Times New Roman"/>
          <w:color w:val="000000"/>
        </w:rPr>
        <w:t>一</w:t>
      </w:r>
      <w:r>
        <w:rPr>
          <w:rStyle w:val="31"/>
          <w:rFonts w:ascii="Times New Roman" w:hAnsi="Times New Roman" w:eastAsia="仿宋" w:cs="Times New Roman"/>
          <w:bCs w:val="0"/>
        </w:rPr>
        <w:t>般公共预算财政拨款支出决算明细表</w:t>
      </w:r>
      <w:bookmarkEnd w:id="85"/>
      <w:bookmarkEnd w:id="86"/>
    </w:p>
    <w:p>
      <w:pPr>
        <w:pStyle w:val="4"/>
        <w:ind w:firstLine="640"/>
        <w:rPr>
          <w:rFonts w:ascii="Times New Roman" w:hAnsi="Times New Roman" w:eastAsia="仿宋" w:cs="Times New Roman"/>
          <w:color w:val="000000"/>
        </w:rPr>
      </w:pPr>
      <w:bookmarkStart w:id="87" w:name="_Toc15396626"/>
      <w:bookmarkStart w:id="88" w:name="_Toc4272"/>
      <w:r>
        <w:rPr>
          <w:rStyle w:val="31"/>
          <w:rFonts w:ascii="Times New Roman" w:hAnsi="Times New Roman" w:eastAsia="仿宋" w:cs="Times New Roman"/>
          <w:bCs w:val="0"/>
        </w:rPr>
        <w:t>八、</w:t>
      </w:r>
      <w:r>
        <w:rPr>
          <w:rFonts w:ascii="Times New Roman" w:hAnsi="Times New Roman" w:eastAsia="仿宋" w:cs="Times New Roman"/>
          <w:color w:val="000000"/>
        </w:rPr>
        <w:t>一</w:t>
      </w:r>
      <w:r>
        <w:rPr>
          <w:rStyle w:val="31"/>
          <w:rFonts w:ascii="Times New Roman" w:hAnsi="Times New Roman" w:eastAsia="仿宋" w:cs="Times New Roman"/>
          <w:bCs w:val="0"/>
        </w:rPr>
        <w:t>般公共预算财政拨款基本支出决算表</w:t>
      </w:r>
      <w:bookmarkEnd w:id="87"/>
      <w:bookmarkEnd w:id="88"/>
    </w:p>
    <w:p>
      <w:pPr>
        <w:pStyle w:val="4"/>
        <w:ind w:firstLine="640"/>
        <w:rPr>
          <w:rFonts w:ascii="Times New Roman" w:hAnsi="Times New Roman" w:eastAsia="仿宋" w:cs="Times New Roman"/>
          <w:color w:val="000000"/>
        </w:rPr>
      </w:pPr>
      <w:bookmarkStart w:id="89" w:name="_Toc15396627"/>
      <w:bookmarkStart w:id="90" w:name="_Toc24091"/>
      <w:r>
        <w:rPr>
          <w:rStyle w:val="31"/>
          <w:rFonts w:ascii="Times New Roman" w:hAnsi="Times New Roman" w:eastAsia="仿宋" w:cs="Times New Roman"/>
          <w:bCs w:val="0"/>
        </w:rPr>
        <w:t>九、</w:t>
      </w:r>
      <w:r>
        <w:rPr>
          <w:rFonts w:ascii="Times New Roman" w:hAnsi="Times New Roman" w:eastAsia="仿宋" w:cs="Times New Roman"/>
          <w:color w:val="000000"/>
        </w:rPr>
        <w:t>一</w:t>
      </w:r>
      <w:r>
        <w:rPr>
          <w:rStyle w:val="31"/>
          <w:rFonts w:ascii="Times New Roman" w:hAnsi="Times New Roman" w:eastAsia="仿宋" w:cs="Times New Roman"/>
          <w:bCs w:val="0"/>
        </w:rPr>
        <w:t>般公共预算财政拨款项目支出决算表</w:t>
      </w:r>
      <w:bookmarkEnd w:id="89"/>
      <w:bookmarkEnd w:id="90"/>
    </w:p>
    <w:p>
      <w:pPr>
        <w:pStyle w:val="4"/>
        <w:ind w:firstLine="640"/>
        <w:rPr>
          <w:rFonts w:ascii="Times New Roman" w:hAnsi="Times New Roman" w:eastAsia="仿宋" w:cs="Times New Roman"/>
          <w:color w:val="000000"/>
        </w:rPr>
      </w:pPr>
      <w:bookmarkStart w:id="91" w:name="_Toc15396628"/>
      <w:bookmarkStart w:id="92" w:name="_Toc9654"/>
      <w:r>
        <w:rPr>
          <w:rStyle w:val="31"/>
          <w:rFonts w:ascii="Times New Roman" w:hAnsi="Times New Roman" w:eastAsia="仿宋" w:cs="Times New Roman"/>
          <w:bCs w:val="0"/>
        </w:rPr>
        <w:t>十、</w:t>
      </w:r>
      <w:r>
        <w:rPr>
          <w:rFonts w:ascii="Times New Roman" w:hAnsi="Times New Roman" w:eastAsia="仿宋" w:cs="Times New Roman"/>
          <w:color w:val="000000"/>
        </w:rPr>
        <w:t>一</w:t>
      </w:r>
      <w:r>
        <w:rPr>
          <w:rStyle w:val="31"/>
          <w:rFonts w:ascii="Times New Roman" w:hAnsi="Times New Roman" w:eastAsia="仿宋" w:cs="Times New Roman"/>
          <w:bCs w:val="0"/>
        </w:rPr>
        <w:t>般公共预算财政拨款“三公”经费支出决算表</w:t>
      </w:r>
      <w:bookmarkEnd w:id="91"/>
      <w:bookmarkEnd w:id="92"/>
    </w:p>
    <w:p>
      <w:pPr>
        <w:pStyle w:val="4"/>
        <w:ind w:firstLine="640"/>
        <w:rPr>
          <w:rFonts w:ascii="Times New Roman" w:hAnsi="Times New Roman" w:eastAsia="仿宋" w:cs="Times New Roman"/>
          <w:color w:val="000000"/>
        </w:rPr>
      </w:pPr>
      <w:bookmarkStart w:id="93" w:name="_Toc15396629"/>
      <w:bookmarkStart w:id="94" w:name="_Toc25475"/>
      <w:r>
        <w:rPr>
          <w:rStyle w:val="31"/>
          <w:rFonts w:ascii="Times New Roman" w:hAnsi="Times New Roman" w:eastAsia="仿宋" w:cs="Times New Roman"/>
          <w:bCs w:val="0"/>
        </w:rPr>
        <w:t>十一、</w:t>
      </w:r>
      <w:r>
        <w:rPr>
          <w:rFonts w:ascii="Times New Roman" w:hAnsi="Times New Roman" w:eastAsia="仿宋" w:cs="Times New Roman"/>
          <w:color w:val="000000"/>
        </w:rPr>
        <w:t>政</w:t>
      </w:r>
      <w:r>
        <w:rPr>
          <w:rStyle w:val="31"/>
          <w:rFonts w:ascii="Times New Roman" w:hAnsi="Times New Roman" w:eastAsia="仿宋" w:cs="Times New Roman"/>
          <w:bCs w:val="0"/>
        </w:rPr>
        <w:t>府性基金预算财政拨款收入支出决算表</w:t>
      </w:r>
      <w:bookmarkEnd w:id="93"/>
      <w:bookmarkEnd w:id="94"/>
    </w:p>
    <w:p>
      <w:pPr>
        <w:pStyle w:val="4"/>
        <w:ind w:firstLine="640"/>
        <w:rPr>
          <w:rFonts w:ascii="Times New Roman" w:hAnsi="Times New Roman" w:eastAsia="仿宋" w:cs="Times New Roman"/>
          <w:color w:val="000000"/>
        </w:rPr>
      </w:pPr>
      <w:bookmarkStart w:id="95" w:name="_Toc16305"/>
      <w:bookmarkStart w:id="96" w:name="_Toc15396630"/>
      <w:r>
        <w:rPr>
          <w:rStyle w:val="31"/>
          <w:rFonts w:ascii="Times New Roman" w:hAnsi="Times New Roman" w:eastAsia="仿宋" w:cs="Times New Roman"/>
          <w:bCs w:val="0"/>
        </w:rPr>
        <w:t>十二、</w:t>
      </w:r>
      <w:r>
        <w:rPr>
          <w:rFonts w:ascii="Times New Roman" w:hAnsi="Times New Roman" w:eastAsia="仿宋" w:cs="Times New Roman"/>
          <w:color w:val="000000"/>
        </w:rPr>
        <w:t>政</w:t>
      </w:r>
      <w:r>
        <w:rPr>
          <w:rStyle w:val="31"/>
          <w:rFonts w:ascii="Times New Roman" w:hAnsi="Times New Roman" w:eastAsia="仿宋" w:cs="Times New Roman"/>
          <w:bCs w:val="0"/>
        </w:rPr>
        <w:t>府性基金预算财政拨款“三公”经费支出决算表</w:t>
      </w:r>
      <w:bookmarkEnd w:id="95"/>
      <w:bookmarkEnd w:id="96"/>
    </w:p>
    <w:p>
      <w:pPr>
        <w:pStyle w:val="4"/>
        <w:ind w:firstLine="640"/>
        <w:rPr>
          <w:rStyle w:val="31"/>
          <w:rFonts w:ascii="Times New Roman" w:hAnsi="Times New Roman" w:eastAsia="仿宋" w:cs="Times New Roman"/>
          <w:bCs w:val="0"/>
        </w:rPr>
      </w:pPr>
      <w:bookmarkStart w:id="97" w:name="_Toc15396631"/>
      <w:bookmarkStart w:id="98" w:name="_Toc12310"/>
      <w:r>
        <w:rPr>
          <w:rStyle w:val="31"/>
          <w:rFonts w:ascii="Times New Roman" w:hAnsi="Times New Roman" w:eastAsia="仿宋" w:cs="Times New Roman"/>
          <w:bCs w:val="0"/>
        </w:rPr>
        <w:t>十三、</w:t>
      </w:r>
      <w:r>
        <w:rPr>
          <w:rFonts w:ascii="Times New Roman" w:hAnsi="Times New Roman" w:eastAsia="仿宋" w:cs="Times New Roman"/>
          <w:color w:val="000000"/>
        </w:rPr>
        <w:t>国</w:t>
      </w:r>
      <w:r>
        <w:rPr>
          <w:rStyle w:val="31"/>
          <w:rFonts w:ascii="Times New Roman" w:hAnsi="Times New Roman" w:eastAsia="仿宋" w:cs="Times New Roman"/>
          <w:bCs w:val="0"/>
        </w:rPr>
        <w:t>有资本经营预算财政拨款收入支出决算表</w:t>
      </w:r>
      <w:bookmarkEnd w:id="97"/>
      <w:bookmarkEnd w:id="98"/>
    </w:p>
    <w:p>
      <w:pPr>
        <w:ind w:firstLine="640" w:firstLineChars="200"/>
        <w:rPr>
          <w:rFonts w:eastAsia="仿宋"/>
        </w:rPr>
      </w:pPr>
      <w:bookmarkStart w:id="99" w:name="_Toc16139"/>
      <w:r>
        <w:rPr>
          <w:rStyle w:val="31"/>
          <w:rFonts w:hint="eastAsia" w:ascii="Times New Roman" w:hAnsi="Times New Roman" w:eastAsia="仿宋" w:cs="Times New Roman"/>
          <w:bCs w:val="0"/>
        </w:rPr>
        <w:t>十四</w:t>
      </w:r>
      <w:r>
        <w:rPr>
          <w:rStyle w:val="31"/>
          <w:rFonts w:ascii="Times New Roman" w:hAnsi="Times New Roman" w:eastAsia="仿宋" w:cs="Times New Roman"/>
          <w:bCs w:val="0"/>
        </w:rPr>
        <w:t>、国有资本经营预算财政拨款支出决算表</w:t>
      </w:r>
      <w:bookmarkEnd w:id="99"/>
    </w:p>
    <w:sectPr>
      <w:footerReference r:id="rId9" w:type="first"/>
      <w:footerReference r:id="rId8" w:type="default"/>
      <w:pgSz w:w="11906" w:h="16838"/>
      <w:pgMar w:top="1440" w:right="1800" w:bottom="1440" w:left="1800" w:header="851" w:footer="992" w:gutter="0"/>
      <w:pgNumType w:start="25"/>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auto"/>
    <w:pitch w:val="default"/>
    <w:sig w:usb0="00000000" w:usb1="00000000" w:usb2="00000000" w:usb3="00000000" w:csb0="00040000" w:csb1="00000000"/>
  </w:font>
  <w:font w:name="Calibri">
    <w:panose1 w:val="020F0502020204030204"/>
    <w:charset w:val="86"/>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Microsoft Yi Baiti">
    <w:panose1 w:val="03000500000000000000"/>
    <w:charset w:val="00"/>
    <w:family w:val="script"/>
    <w:pitch w:val="default"/>
    <w:sig w:usb0="80000003" w:usb1="00010402" w:usb2="00080002"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6110229"/>
      <w:docPartObj>
        <w:docPartGallery w:val="autotext"/>
      </w:docPartObj>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6110229"/>
      <w:docPartObj>
        <w:docPartGallery w:val="autotext"/>
      </w:docPartObj>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6110229"/>
      <w:docPartObj>
        <w:docPartGallery w:val="autotext"/>
      </w:docPartObj>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5BA493"/>
    <w:multiLevelType w:val="singleLevel"/>
    <w:tmpl w:val="9B5BA493"/>
    <w:lvl w:ilvl="0" w:tentative="0">
      <w:start w:val="6"/>
      <w:numFmt w:val="decimal"/>
      <w:lvlText w:val="%1."/>
      <w:lvlJc w:val="left"/>
      <w:pPr>
        <w:tabs>
          <w:tab w:val="left" w:pos="312"/>
        </w:tabs>
      </w:pPr>
    </w:lvl>
  </w:abstractNum>
  <w:abstractNum w:abstractNumId="1">
    <w:nsid w:val="BC858540"/>
    <w:multiLevelType w:val="singleLevel"/>
    <w:tmpl w:val="BC858540"/>
    <w:lvl w:ilvl="0" w:tentative="0">
      <w:start w:val="4"/>
      <w:numFmt w:val="chineseCounting"/>
      <w:suff w:val="nothing"/>
      <w:lvlText w:val="（%1）"/>
      <w:lvlJc w:val="left"/>
      <w:rPr>
        <w:rFonts w:hint="eastAsia"/>
      </w:rPr>
    </w:lvl>
  </w:abstractNum>
  <w:abstractNum w:abstractNumId="2">
    <w:nsid w:val="C64D797F"/>
    <w:multiLevelType w:val="singleLevel"/>
    <w:tmpl w:val="C64D797F"/>
    <w:lvl w:ilvl="0" w:tentative="0">
      <w:start w:val="1"/>
      <w:numFmt w:val="chineseCounting"/>
      <w:suff w:val="nothing"/>
      <w:lvlText w:val="%1、"/>
      <w:lvlJc w:val="left"/>
      <w:rPr>
        <w:rFonts w:hint="eastAsia"/>
      </w:rPr>
    </w:lvl>
  </w:abstractNum>
  <w:abstractNum w:abstractNumId="3">
    <w:nsid w:val="CF652CEC"/>
    <w:multiLevelType w:val="singleLevel"/>
    <w:tmpl w:val="CF652CEC"/>
    <w:lvl w:ilvl="0" w:tentative="0">
      <w:start w:val="9"/>
      <w:numFmt w:val="chineseCounting"/>
      <w:suff w:val="nothing"/>
      <w:lvlText w:val="%1、"/>
      <w:lvlJc w:val="left"/>
      <w:rPr>
        <w:rFonts w:hint="eastAsia"/>
      </w:rPr>
    </w:lvl>
  </w:abstractNum>
  <w:abstractNum w:abstractNumId="4">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5">
    <w:nsid w:val="18F65E07"/>
    <w:multiLevelType w:val="singleLevel"/>
    <w:tmpl w:val="18F65E07"/>
    <w:lvl w:ilvl="0" w:tentative="0">
      <w:start w:val="1"/>
      <w:numFmt w:val="decimal"/>
      <w:lvlText w:val="%1."/>
      <w:lvlJc w:val="left"/>
      <w:pPr>
        <w:tabs>
          <w:tab w:val="left" w:pos="312"/>
        </w:tabs>
      </w:pPr>
    </w:lvl>
  </w:abstractNum>
  <w:abstractNum w:abstractNumId="6">
    <w:nsid w:val="420A1CAE"/>
    <w:multiLevelType w:val="singleLevel"/>
    <w:tmpl w:val="420A1CAE"/>
    <w:lvl w:ilvl="0" w:tentative="0">
      <w:start w:val="1"/>
      <w:numFmt w:val="chineseCounting"/>
      <w:suff w:val="nothing"/>
      <w:lvlText w:val="%1、"/>
      <w:lvlJc w:val="left"/>
      <w:rPr>
        <w:rFonts w:hint="eastAsia"/>
      </w:rPr>
    </w:lvl>
  </w:abstractNum>
  <w:abstractNum w:abstractNumId="7">
    <w:nsid w:val="646C6D77"/>
    <w:multiLevelType w:val="singleLevel"/>
    <w:tmpl w:val="646C6D77"/>
    <w:lvl w:ilvl="0" w:tentative="0">
      <w:start w:val="1"/>
      <w:numFmt w:val="decimal"/>
      <w:suff w:val="nothing"/>
      <w:lvlText w:val="（%1）"/>
      <w:lvlJc w:val="left"/>
    </w:lvl>
  </w:abstractNum>
  <w:abstractNum w:abstractNumId="8">
    <w:nsid w:val="7EF9C454"/>
    <w:multiLevelType w:val="singleLevel"/>
    <w:tmpl w:val="7EF9C454"/>
    <w:lvl w:ilvl="0" w:tentative="0">
      <w:start w:val="2"/>
      <w:numFmt w:val="chineseCounting"/>
      <w:suff w:val="nothing"/>
      <w:lvlText w:val="（%1）"/>
      <w:lvlJc w:val="left"/>
      <w:rPr>
        <w:rFonts w:hint="eastAsia"/>
      </w:rPr>
    </w:lvl>
  </w:abstractNum>
  <w:num w:numId="1">
    <w:abstractNumId w:val="2"/>
  </w:num>
  <w:num w:numId="2">
    <w:abstractNumId w:val="3"/>
  </w:num>
  <w:num w:numId="3">
    <w:abstractNumId w:val="1"/>
  </w:num>
  <w:num w:numId="4">
    <w:abstractNumId w:val="5"/>
  </w:num>
  <w:num w:numId="5">
    <w:abstractNumId w:val="7"/>
  </w:num>
  <w:num w:numId="6">
    <w:abstractNumId w:val="4"/>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wNTNmMDU4MWZlNzRiMDlkNWQ3NGNlMGVhM2U5N2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20814"/>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0716"/>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4CD6"/>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9655A"/>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8F111E"/>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467FC"/>
    <w:rsid w:val="00A56DF2"/>
    <w:rsid w:val="00A56E6E"/>
    <w:rsid w:val="00A67AB5"/>
    <w:rsid w:val="00A733B2"/>
    <w:rsid w:val="00A741C2"/>
    <w:rsid w:val="00A83DE6"/>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1D33"/>
    <w:rsid w:val="00C87FD8"/>
    <w:rsid w:val="00C91381"/>
    <w:rsid w:val="00C91CBB"/>
    <w:rsid w:val="00CB4E70"/>
    <w:rsid w:val="00CC09B6"/>
    <w:rsid w:val="00CC666F"/>
    <w:rsid w:val="00CD1E3F"/>
    <w:rsid w:val="00CE44F6"/>
    <w:rsid w:val="00CE49DA"/>
    <w:rsid w:val="00CE7B61"/>
    <w:rsid w:val="00D00095"/>
    <w:rsid w:val="00D114F0"/>
    <w:rsid w:val="00D179D1"/>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7E45C8"/>
    <w:rsid w:val="02DE62B3"/>
    <w:rsid w:val="03892B82"/>
    <w:rsid w:val="03931459"/>
    <w:rsid w:val="068746FC"/>
    <w:rsid w:val="07AB5033"/>
    <w:rsid w:val="087726A1"/>
    <w:rsid w:val="0A2032A3"/>
    <w:rsid w:val="0C736025"/>
    <w:rsid w:val="0F523C62"/>
    <w:rsid w:val="10C055FF"/>
    <w:rsid w:val="118107EC"/>
    <w:rsid w:val="1508444A"/>
    <w:rsid w:val="156343DB"/>
    <w:rsid w:val="158F494F"/>
    <w:rsid w:val="15A008EC"/>
    <w:rsid w:val="15D8055B"/>
    <w:rsid w:val="160B0DD1"/>
    <w:rsid w:val="16A03762"/>
    <w:rsid w:val="16BB723D"/>
    <w:rsid w:val="17D2219C"/>
    <w:rsid w:val="18015F3F"/>
    <w:rsid w:val="1817373C"/>
    <w:rsid w:val="196E1453"/>
    <w:rsid w:val="1A5728F6"/>
    <w:rsid w:val="1B6F2B75"/>
    <w:rsid w:val="1BE8440E"/>
    <w:rsid w:val="1D155CEE"/>
    <w:rsid w:val="1DB22951"/>
    <w:rsid w:val="20831C05"/>
    <w:rsid w:val="20870002"/>
    <w:rsid w:val="20F57F95"/>
    <w:rsid w:val="215A265D"/>
    <w:rsid w:val="23705E24"/>
    <w:rsid w:val="240371BF"/>
    <w:rsid w:val="269654F4"/>
    <w:rsid w:val="26E2031A"/>
    <w:rsid w:val="273E6371"/>
    <w:rsid w:val="27842671"/>
    <w:rsid w:val="29FD04D3"/>
    <w:rsid w:val="2ABE7A3E"/>
    <w:rsid w:val="2AC92991"/>
    <w:rsid w:val="2F2A6B71"/>
    <w:rsid w:val="2FCD5829"/>
    <w:rsid w:val="319F7F4E"/>
    <w:rsid w:val="329901D7"/>
    <w:rsid w:val="32D14A2C"/>
    <w:rsid w:val="32D47F3C"/>
    <w:rsid w:val="34C72889"/>
    <w:rsid w:val="35C55FBF"/>
    <w:rsid w:val="3619058A"/>
    <w:rsid w:val="37980A7E"/>
    <w:rsid w:val="39747286"/>
    <w:rsid w:val="3BC47BB3"/>
    <w:rsid w:val="3C0C0783"/>
    <w:rsid w:val="3E5B7334"/>
    <w:rsid w:val="406A4695"/>
    <w:rsid w:val="40743C21"/>
    <w:rsid w:val="408067DB"/>
    <w:rsid w:val="40D35D70"/>
    <w:rsid w:val="42D82843"/>
    <w:rsid w:val="43AA3E53"/>
    <w:rsid w:val="447A2C16"/>
    <w:rsid w:val="46375E0B"/>
    <w:rsid w:val="46456E95"/>
    <w:rsid w:val="482A4575"/>
    <w:rsid w:val="49152471"/>
    <w:rsid w:val="492A7BF4"/>
    <w:rsid w:val="493C27E9"/>
    <w:rsid w:val="496F39ED"/>
    <w:rsid w:val="49FF41D3"/>
    <w:rsid w:val="4AAE1CEF"/>
    <w:rsid w:val="4BE068DB"/>
    <w:rsid w:val="4BF6002B"/>
    <w:rsid w:val="4EB46FF1"/>
    <w:rsid w:val="4ECE2238"/>
    <w:rsid w:val="4F215516"/>
    <w:rsid w:val="4F4D2C47"/>
    <w:rsid w:val="4FAD2DDF"/>
    <w:rsid w:val="5018104A"/>
    <w:rsid w:val="51AF0BD6"/>
    <w:rsid w:val="51EE6435"/>
    <w:rsid w:val="53B96F72"/>
    <w:rsid w:val="54B15F7A"/>
    <w:rsid w:val="57D924BC"/>
    <w:rsid w:val="57E54D18"/>
    <w:rsid w:val="5BA47E75"/>
    <w:rsid w:val="5E3738E5"/>
    <w:rsid w:val="5F766CDD"/>
    <w:rsid w:val="63330D13"/>
    <w:rsid w:val="64CA39A1"/>
    <w:rsid w:val="67C75FCB"/>
    <w:rsid w:val="6AE5325F"/>
    <w:rsid w:val="6C4A05C8"/>
    <w:rsid w:val="6DD93421"/>
    <w:rsid w:val="6EFB6455"/>
    <w:rsid w:val="704971E1"/>
    <w:rsid w:val="714801BC"/>
    <w:rsid w:val="720179A7"/>
    <w:rsid w:val="72734D90"/>
    <w:rsid w:val="76A62F55"/>
    <w:rsid w:val="7ABB5315"/>
    <w:rsid w:val="7B8E67BC"/>
    <w:rsid w:val="7BF31440"/>
    <w:rsid w:val="7C207C32"/>
    <w:rsid w:val="7CB74396"/>
    <w:rsid w:val="7FC6146D"/>
    <w:rsid w:val="7FE71DB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unhideWhenUsed/>
    <w:qFormat/>
    <w:uiPriority w:val="9"/>
    <w:pPr>
      <w:keepNext/>
      <w:keepLines/>
      <w:spacing w:before="260" w:after="260" w:line="416" w:lineRule="auto"/>
      <w:ind w:firstLine="600" w:firstLineChars="200"/>
      <w:outlineLvl w:val="1"/>
    </w:pPr>
    <w:rPr>
      <w:rFonts w:eastAsia="黑体" w:asciiTheme="majorHAnsi" w:hAnsiTheme="majorHAnsi" w:cstheme="majorBidi"/>
      <w:bCs/>
      <w:sz w:val="32"/>
      <w:szCs w:val="32"/>
    </w:rPr>
  </w:style>
  <w:style w:type="paragraph" w:styleId="5">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7"/>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Plain Text"/>
    <w:basedOn w:val="1"/>
    <w:qFormat/>
    <w:uiPriority w:val="0"/>
    <w:rPr>
      <w:rFonts w:ascii="宋体" w:hAnsi="Courier New"/>
    </w:rPr>
  </w:style>
  <w:style w:type="paragraph" w:styleId="8">
    <w:name w:val="Balloon Text"/>
    <w:basedOn w:val="1"/>
    <w:link w:val="33"/>
    <w:semiHidden/>
    <w:unhideWhenUsed/>
    <w:qFormat/>
    <w:uiPriority w:val="99"/>
    <w:rPr>
      <w:sz w:val="18"/>
      <w:szCs w:val="18"/>
    </w:rPr>
  </w:style>
  <w:style w:type="paragraph" w:styleId="9">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bCs/>
    </w:rPr>
  </w:style>
  <w:style w:type="character" w:styleId="16">
    <w:name w:val="FollowedHyperlink"/>
    <w:basedOn w:val="14"/>
    <w:semiHidden/>
    <w:unhideWhenUsed/>
    <w:qFormat/>
    <w:uiPriority w:val="99"/>
    <w:rPr>
      <w:color w:val="337AB7"/>
      <w:u w:val="single"/>
    </w:rPr>
  </w:style>
  <w:style w:type="character" w:styleId="17">
    <w:name w:val="HTML Definition"/>
    <w:basedOn w:val="14"/>
    <w:semiHidden/>
    <w:unhideWhenUsed/>
    <w:qFormat/>
    <w:uiPriority w:val="99"/>
    <w:rPr>
      <w:i/>
      <w:iCs/>
    </w:rPr>
  </w:style>
  <w:style w:type="character" w:styleId="18">
    <w:name w:val="Hyperlink"/>
    <w:basedOn w:val="14"/>
    <w:unhideWhenUsed/>
    <w:qFormat/>
    <w:uiPriority w:val="99"/>
    <w:rPr>
      <w:color w:val="0000FF" w:themeColor="hyperlink"/>
      <w:u w:val="single"/>
      <w14:textFill>
        <w14:solidFill>
          <w14:schemeClr w14:val="hlink"/>
        </w14:solidFill>
      </w14:textFill>
    </w:rPr>
  </w:style>
  <w:style w:type="character" w:styleId="19">
    <w:name w:val="HTML Code"/>
    <w:basedOn w:val="14"/>
    <w:semiHidden/>
    <w:unhideWhenUsed/>
    <w:qFormat/>
    <w:uiPriority w:val="99"/>
    <w:rPr>
      <w:rFonts w:ascii="Consolas" w:hAnsi="Consolas" w:eastAsia="Consolas" w:cs="Consolas"/>
      <w:color w:val="C7254E"/>
      <w:sz w:val="21"/>
      <w:szCs w:val="21"/>
      <w:shd w:val="clear" w:color="auto" w:fill="F9F2F4"/>
    </w:rPr>
  </w:style>
  <w:style w:type="character" w:styleId="20">
    <w:name w:val="HTML Keyboard"/>
    <w:basedOn w:val="14"/>
    <w:semiHidden/>
    <w:unhideWhenUsed/>
    <w:qFormat/>
    <w:uiPriority w:val="99"/>
    <w:rPr>
      <w:rFonts w:hint="default" w:ascii="Consolas" w:hAnsi="Consolas" w:eastAsia="Consolas" w:cs="Consolas"/>
      <w:color w:val="FFFFFF"/>
      <w:sz w:val="21"/>
      <w:szCs w:val="21"/>
      <w:shd w:val="clear" w:color="auto" w:fill="333333"/>
    </w:rPr>
  </w:style>
  <w:style w:type="character" w:styleId="21">
    <w:name w:val="HTML Sample"/>
    <w:basedOn w:val="14"/>
    <w:semiHidden/>
    <w:unhideWhenUsed/>
    <w:qFormat/>
    <w:uiPriority w:val="99"/>
    <w:rPr>
      <w:rFonts w:hint="default" w:ascii="Consolas" w:hAnsi="Consolas" w:eastAsia="Consolas" w:cs="Consolas"/>
      <w:sz w:val="21"/>
      <w:szCs w:val="21"/>
    </w:rPr>
  </w:style>
  <w:style w:type="character" w:customStyle="1" w:styleId="22">
    <w:name w:val="Header Char"/>
    <w:basedOn w:val="14"/>
    <w:semiHidden/>
    <w:qFormat/>
    <w:uiPriority w:val="99"/>
    <w:rPr>
      <w:rFonts w:ascii="Times New Roman" w:hAnsi="Times New Roman"/>
      <w:sz w:val="18"/>
      <w:szCs w:val="18"/>
    </w:rPr>
  </w:style>
  <w:style w:type="character" w:customStyle="1" w:styleId="23">
    <w:name w:val="页眉 字符"/>
    <w:link w:val="10"/>
    <w:semiHidden/>
    <w:qFormat/>
    <w:locked/>
    <w:uiPriority w:val="99"/>
    <w:rPr>
      <w:sz w:val="18"/>
    </w:rPr>
  </w:style>
  <w:style w:type="character" w:customStyle="1" w:styleId="24">
    <w:name w:val="Footer Char"/>
    <w:basedOn w:val="14"/>
    <w:semiHidden/>
    <w:qFormat/>
    <w:uiPriority w:val="99"/>
    <w:rPr>
      <w:rFonts w:ascii="Times New Roman" w:hAnsi="Times New Roman"/>
      <w:sz w:val="18"/>
      <w:szCs w:val="18"/>
    </w:rPr>
  </w:style>
  <w:style w:type="character" w:customStyle="1" w:styleId="25">
    <w:name w:val="页脚 字符"/>
    <w:link w:val="9"/>
    <w:qFormat/>
    <w:locked/>
    <w:uiPriority w:val="99"/>
    <w:rPr>
      <w:sz w:val="18"/>
    </w:rPr>
  </w:style>
  <w:style w:type="character" w:customStyle="1" w:styleId="26">
    <w:name w:val="Body Text Char"/>
    <w:basedOn w:val="14"/>
    <w:semiHidden/>
    <w:qFormat/>
    <w:uiPriority w:val="99"/>
    <w:rPr>
      <w:rFonts w:ascii="Times New Roman" w:hAnsi="Times New Roman"/>
      <w:szCs w:val="24"/>
    </w:rPr>
  </w:style>
  <w:style w:type="character" w:customStyle="1" w:styleId="27">
    <w:name w:val="正文文本 字符"/>
    <w:link w:val="2"/>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字符"/>
    <w:basedOn w:val="14"/>
    <w:link w:val="3"/>
    <w:qFormat/>
    <w:uiPriority w:val="9"/>
    <w:rPr>
      <w:rFonts w:ascii="Times New Roman" w:hAnsi="Times New Roman"/>
      <w:b/>
      <w:bCs/>
      <w:kern w:val="44"/>
      <w:sz w:val="44"/>
      <w:szCs w:val="44"/>
    </w:rPr>
  </w:style>
  <w:style w:type="character" w:customStyle="1" w:styleId="31">
    <w:name w:val="标题 2 字符"/>
    <w:basedOn w:val="14"/>
    <w:link w:val="4"/>
    <w:qFormat/>
    <w:uiPriority w:val="9"/>
    <w:rPr>
      <w:rFonts w:eastAsia="黑体" w:asciiTheme="majorHAnsi" w:hAnsiTheme="majorHAnsi" w:cstheme="majorBidi"/>
      <w:bCs/>
      <w:kern w:val="2"/>
      <w:sz w:val="32"/>
      <w:szCs w:val="32"/>
    </w:rPr>
  </w:style>
  <w:style w:type="paragraph" w:customStyle="1" w:styleId="32">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字符"/>
    <w:basedOn w:val="14"/>
    <w:link w:val="8"/>
    <w:semiHidden/>
    <w:qFormat/>
    <w:uiPriority w:val="99"/>
    <w:rPr>
      <w:rFonts w:ascii="Times New Roman" w:hAnsi="Times New Roman"/>
      <w:kern w:val="2"/>
      <w:sz w:val="18"/>
      <w:szCs w:val="18"/>
    </w:rPr>
  </w:style>
  <w:style w:type="character" w:customStyle="1" w:styleId="34">
    <w:name w:val="标题 3 字符"/>
    <w:basedOn w:val="14"/>
    <w:link w:val="5"/>
    <w:qFormat/>
    <w:uiPriority w:val="9"/>
    <w:rPr>
      <w:rFonts w:ascii="Times New Roman" w:hAnsi="Times New Roman"/>
      <w:b/>
      <w:bCs/>
      <w:kern w:val="2"/>
      <w:sz w:val="32"/>
      <w:szCs w:val="32"/>
    </w:rPr>
  </w:style>
  <w:style w:type="paragraph" w:customStyle="1" w:styleId="35">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6">
    <w:name w:val="hour_pm"/>
    <w:basedOn w:val="14"/>
    <w:qFormat/>
    <w:uiPriority w:val="0"/>
  </w:style>
  <w:style w:type="character" w:customStyle="1" w:styleId="37">
    <w:name w:val="hour_am"/>
    <w:basedOn w:val="14"/>
    <w:qFormat/>
    <w:uiPriority w:val="0"/>
  </w:style>
  <w:style w:type="character" w:customStyle="1" w:styleId="38">
    <w:name w:val="hover1"/>
    <w:basedOn w:val="14"/>
    <w:qFormat/>
    <w:uiPriority w:val="0"/>
    <w:rPr>
      <w:shd w:val="clear" w:color="auto" w:fill="EEEEEE"/>
    </w:rPr>
  </w:style>
  <w:style w:type="character" w:customStyle="1" w:styleId="39">
    <w:name w:val="old"/>
    <w:basedOn w:val="14"/>
    <w:qFormat/>
    <w:uiPriority w:val="0"/>
    <w:rPr>
      <w:color w:val="999999"/>
    </w:rPr>
  </w:style>
  <w:style w:type="paragraph" w:customStyle="1" w:styleId="40">
    <w:name w:val="WPSOffice手动目录 1"/>
    <w:qFormat/>
    <w:uiPriority w:val="0"/>
    <w:rPr>
      <w:rFonts w:ascii="Times New Roman" w:hAnsi="Times New Roman" w:eastAsia="宋体" w:cs="Times New Roman"/>
      <w:lang w:val="en-US" w:eastAsia="zh-CN" w:bidi="ar-SA"/>
    </w:rPr>
  </w:style>
  <w:style w:type="paragraph" w:customStyle="1" w:styleId="41">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chart" Target="charts/chart7.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themeOverride" Target="../theme/themeOverride2.xml"/><Relationship Id="rId1" Type="http://schemas.openxmlformats.org/officeDocument/2006/relationships/oleObject" Target="file:///C:\Users\123\Desktop\&#20915;&#31639;\&#20915;&#31639;&#20844;&#24320;\&#24037;&#20316;&#31807;1.xlsx" TargetMode="External"/></Relationships>
</file>

<file path=word/charts/_rels/chart2.xml.rels><?xml version="1.0" encoding="UTF-8" standalone="yes"?>
<Relationships xmlns="http://schemas.openxmlformats.org/package/2006/relationships"><Relationship Id="rId4" Type="http://schemas.microsoft.com/office/2011/relationships/chartColorStyle" Target="colors7.xml"/><Relationship Id="rId3" Type="http://schemas.microsoft.com/office/2011/relationships/chartStyle" Target="style7.xml"/><Relationship Id="rId2" Type="http://schemas.openxmlformats.org/officeDocument/2006/relationships/themeOverride" Target="../theme/themeOverride6.xml"/><Relationship Id="rId1" Type="http://schemas.openxmlformats.org/officeDocument/2006/relationships/oleObject" Target="file:///C:\Users\123\Desktop\&#20915;&#31639;\&#20915;&#31639;&#20844;&#24320;\&#24037;&#20316;&#31807;1.xlsx" TargetMode="External"/></Relationships>
</file>

<file path=word/charts/_rels/chart3.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1.xml"/><Relationship Id="rId1" Type="http://schemas.openxmlformats.org/officeDocument/2006/relationships/oleObject" Target="file:///C:\Users\123\Desktop\&#20915;&#31639;\&#20915;&#31639;&#20844;&#24320;\&#24037;&#20316;&#31807;1.xlsx" TargetMode="External"/></Relationships>
</file>

<file path=word/charts/_rels/chart4.xml.rels><?xml version="1.0" encoding="UTF-8" standalone="yes"?>
<Relationships xmlns="http://schemas.openxmlformats.org/package/2006/relationships"><Relationship Id="rId4" Type="http://schemas.microsoft.com/office/2011/relationships/chartColorStyle" Target="colors4.xml"/><Relationship Id="rId3" Type="http://schemas.microsoft.com/office/2011/relationships/chartStyle" Target="style4.xml"/><Relationship Id="rId2" Type="http://schemas.openxmlformats.org/officeDocument/2006/relationships/themeOverride" Target="../theme/themeOverride3.xml"/><Relationship Id="rId1" Type="http://schemas.openxmlformats.org/officeDocument/2006/relationships/oleObject" Target="file:///C:\Users\123\Desktop\&#20915;&#31639;\&#20915;&#31639;&#20844;&#24320;\&#24037;&#20316;&#31807;1.xlsx" TargetMode="External"/></Relationships>
</file>

<file path=word/charts/_rels/chart5.xml.rels><?xml version="1.0" encoding="UTF-8" standalone="yes"?>
<Relationships xmlns="http://schemas.openxmlformats.org/package/2006/relationships"><Relationship Id="rId4" Type="http://schemas.microsoft.com/office/2011/relationships/chartColorStyle" Target="colors5.xml"/><Relationship Id="rId3" Type="http://schemas.microsoft.com/office/2011/relationships/chartStyle" Target="style5.xml"/><Relationship Id="rId2" Type="http://schemas.openxmlformats.org/officeDocument/2006/relationships/themeOverride" Target="../theme/themeOverride4.xml"/><Relationship Id="rId1" Type="http://schemas.openxmlformats.org/officeDocument/2006/relationships/oleObject" Target="file:///C:\Users\123\Desktop\&#20915;&#31639;\&#20915;&#31639;&#20844;&#24320;\&#24037;&#20316;&#31807;1.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123\Desktop\&#20915;&#31639;\&#20915;&#31639;&#20844;&#24320;\&#24037;&#20316;&#31807;1.xlsx" TargetMode="External"/></Relationships>
</file>

<file path=word/charts/_rels/chart7.xml.rels><?xml version="1.0" encoding="UTF-8" standalone="yes"?>
<Relationships xmlns="http://schemas.openxmlformats.org/package/2006/relationships"><Relationship Id="rId4" Type="http://schemas.microsoft.com/office/2011/relationships/chartColorStyle" Target="colors6.xml"/><Relationship Id="rId3" Type="http://schemas.microsoft.com/office/2011/relationships/chartStyle" Target="style6.xml"/><Relationship Id="rId2" Type="http://schemas.openxmlformats.org/officeDocument/2006/relationships/themeOverride" Target="../theme/themeOverride5.xml"/><Relationship Id="rId1" Type="http://schemas.openxmlformats.org/officeDocument/2006/relationships/oleObject" Target="file:///C:\Users\123\Desktop\&#20915;&#31639;\&#20915;&#31639;&#20844;&#24320;\&#24037;&#20316;&#31807;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lang="zh-CN" altLang="en-US"/>
              <a:t>收、支决算总计变动情况图</a:t>
            </a:r>
            <a:endParaRPr lang="zh-CN" altLang="en-US"/>
          </a:p>
        </c:rich>
      </c:tx>
      <c:layout/>
      <c:overlay val="0"/>
      <c:spPr>
        <a:noFill/>
        <a:ln>
          <a:noFill/>
        </a:ln>
        <a:effectLst/>
      </c:spPr>
    </c:title>
    <c:autoTitleDeleted val="0"/>
    <c:plotArea>
      <c:layout>
        <c:manualLayout>
          <c:layoutTarget val="inner"/>
          <c:xMode val="edge"/>
          <c:yMode val="edge"/>
          <c:x val="0.0559816218099468"/>
          <c:y val="0.247865112907836"/>
          <c:w val="0.911111111111111"/>
          <c:h val="0.654027777777778"/>
        </c:manualLayout>
      </c:layout>
      <c:barChart>
        <c:barDir val="col"/>
        <c:grouping val="clustered"/>
        <c:varyColors val="0"/>
        <c:ser>
          <c:idx val="0"/>
          <c:order val="0"/>
          <c:tx>
            <c:strRef>
              <c:f>[工作簿1.xlsx]Sheet1!$B$13</c:f>
              <c:strCache>
                <c:ptCount val="1"/>
                <c:pt idx="0">
                  <c:v>收入</c:v>
                </c:pt>
              </c:strCache>
            </c:strRef>
          </c:tx>
          <c:spPr>
            <a:solidFill>
              <a:srgbClr val="365B7C"/>
            </a:solidFill>
            <a:ln w="57150" cmpd="dbl">
              <a:solidFill>
                <a:srgbClr val="365B7C"/>
              </a:solidFill>
            </a:ln>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[工作簿1.xlsx]Sheet1!$C$12:$D$12</c:f>
              <c:strCache>
                <c:ptCount val="2"/>
                <c:pt idx="0">
                  <c:v>2020年</c:v>
                </c:pt>
                <c:pt idx="1">
                  <c:v>2019年</c:v>
                </c:pt>
              </c:strCache>
            </c:strRef>
          </c:cat>
          <c:val>
            <c:numRef>
              <c:f>[工作簿1.xlsx]Sheet1!$C$13:$D$13</c:f>
              <c:numCache>
                <c:formatCode>General</c:formatCode>
                <c:ptCount val="2"/>
                <c:pt idx="0">
                  <c:v>2734.01</c:v>
                </c:pt>
                <c:pt idx="1">
                  <c:v>2916.99</c:v>
                </c:pt>
              </c:numCache>
            </c:numRef>
          </c:val>
        </c:ser>
        <c:ser>
          <c:idx val="1"/>
          <c:order val="1"/>
          <c:tx>
            <c:strRef>
              <c:f>[工作簿1.xlsx]Sheet1!$B$14</c:f>
              <c:strCache>
                <c:ptCount val="1"/>
                <c:pt idx="0">
                  <c:v>支出</c:v>
                </c:pt>
              </c:strCache>
            </c:strRef>
          </c:tx>
          <c:spPr>
            <a:solidFill>
              <a:srgbClr val="966480"/>
            </a:solidFill>
            <a:ln w="57150" cmpd="dbl">
              <a:solidFill>
                <a:srgbClr val="966480"/>
              </a:solidFill>
            </a:ln>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[工作簿1.xlsx]Sheet1!$C$12:$D$12</c:f>
              <c:strCache>
                <c:ptCount val="2"/>
                <c:pt idx="0">
                  <c:v>2020年</c:v>
                </c:pt>
                <c:pt idx="1">
                  <c:v>2019年</c:v>
                </c:pt>
              </c:strCache>
            </c:strRef>
          </c:cat>
          <c:val>
            <c:numRef>
              <c:f>[工作簿1.xlsx]Sheet1!$C$14:$D$14</c:f>
              <c:numCache>
                <c:formatCode>General</c:formatCode>
                <c:ptCount val="2"/>
                <c:pt idx="0">
                  <c:v>2734.01</c:v>
                </c:pt>
                <c:pt idx="1">
                  <c:v>2910.8</c:v>
                </c:pt>
              </c:numCache>
            </c:numRef>
          </c:val>
        </c:ser>
        <c:dLbls>
          <c:showLegendKey val="0"/>
          <c:showVal val="1"/>
          <c:showCatName val="0"/>
          <c:showSerName val="0"/>
          <c:showPercent val="0"/>
          <c:showBubbleSize val="0"/>
        </c:dLbls>
        <c:gapWidth val="269"/>
        <c:overlap val="-55"/>
        <c:axId val="419542257"/>
        <c:axId val="892823090"/>
      </c:barChart>
      <c:catAx>
        <c:axId val="419542257"/>
        <c:scaling>
          <c:orientation val="minMax"/>
        </c:scaling>
        <c:delete val="0"/>
        <c:axPos val="b"/>
        <c:numFmt formatCode="General" sourceLinked="0"/>
        <c:majorTickMark val="none"/>
        <c:minorTickMark val="none"/>
        <c:tickLblPos val="nextTo"/>
        <c:spPr>
          <a:noFill/>
          <a:ln w="9525" cap="flat" cmpd="sng" algn="ctr">
            <a:solidFill>
              <a:schemeClr val="bg1">
                <a:lumMod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892823090"/>
        <c:crosses val="autoZero"/>
        <c:auto val="1"/>
        <c:lblAlgn val="ctr"/>
        <c:lblOffset val="100"/>
        <c:noMultiLvlLbl val="0"/>
      </c:catAx>
      <c:valAx>
        <c:axId val="892823090"/>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419542257"/>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lang="zh-CN" altLang="en-US"/>
              <a:t>收入决算结构图</a:t>
            </a:r>
            <a:endParaRPr lang="zh-CN" altLang="en-US"/>
          </a:p>
        </c:rich>
      </c:tx>
      <c:layout>
        <c:manualLayout>
          <c:xMode val="edge"/>
          <c:yMode val="edge"/>
          <c:x val="0.355183979756343"/>
          <c:y val="0"/>
        </c:manualLayout>
      </c:layout>
      <c:overlay val="0"/>
      <c:spPr>
        <a:noFill/>
        <a:ln>
          <a:noFill/>
        </a:ln>
        <a:effectLst/>
      </c:spPr>
    </c:title>
    <c:autoTitleDeleted val="0"/>
    <c:plotArea>
      <c:layout>
        <c:manualLayout>
          <c:layoutTarget val="inner"/>
          <c:xMode val="edge"/>
          <c:yMode val="edge"/>
          <c:x val="0.300459674049311"/>
          <c:y val="0.25974025974026"/>
          <c:w val="0.408552723220504"/>
          <c:h val="0.692561983471074"/>
        </c:manualLayout>
      </c:layout>
      <c:pieChart>
        <c:varyColors val="1"/>
        <c:ser>
          <c:idx val="0"/>
          <c:order val="0"/>
          <c:tx>
            <c:strRef>
              <c:f>[工作簿1.xlsx]一、收入支出决算总体情况说明!$C$27</c:f>
              <c:strCache>
                <c:ptCount val="1"/>
                <c:pt idx="0">
                  <c:v>金额</c:v>
                </c:pt>
              </c:strCache>
            </c:strRef>
          </c:tx>
          <c:spPr>
            <a:solidFill>
              <a:srgbClr val="859949"/>
            </a:solidFill>
            <a:ln w="31750">
              <a:solidFill>
                <a:schemeClr val="bg1">
                  <a:alpha val="42000"/>
                </a:schemeClr>
              </a:solidFill>
            </a:ln>
          </c:spPr>
          <c:explosion val="0"/>
          <c:dPt>
            <c:idx val="0"/>
            <c:bubble3D val="0"/>
            <c:explosion val="15"/>
            <c:spPr>
              <a:solidFill>
                <a:srgbClr val="365B7C"/>
              </a:solidFill>
              <a:ln w="31750">
                <a:solidFill>
                  <a:schemeClr val="bg1">
                    <a:alpha val="42000"/>
                  </a:schemeClr>
                </a:solidFill>
              </a:ln>
              <a:effectLst/>
            </c:spPr>
          </c:dPt>
          <c:dPt>
            <c:idx val="1"/>
            <c:bubble3D val="0"/>
            <c:spPr>
              <a:solidFill>
                <a:srgbClr val="966480"/>
              </a:solidFill>
              <a:ln w="31750">
                <a:solidFill>
                  <a:schemeClr val="bg1">
                    <a:alpha val="42000"/>
                  </a:schemeClr>
                </a:solidFill>
              </a:ln>
              <a:effectLst/>
            </c:spPr>
          </c:dPt>
          <c:dPt>
            <c:idx val="2"/>
            <c:bubble3D val="0"/>
            <c:spPr>
              <a:solidFill>
                <a:srgbClr val="D06F83"/>
              </a:solidFill>
              <a:ln w="31750">
                <a:solidFill>
                  <a:schemeClr val="bg1">
                    <a:alpha val="42000"/>
                  </a:schemeClr>
                </a:solidFill>
              </a:ln>
              <a:effectLst/>
            </c:spPr>
          </c:dPt>
          <c:dPt>
            <c:idx val="3"/>
            <c:bubble3D val="0"/>
            <c:spPr>
              <a:solidFill>
                <a:srgbClr val="DD5F71"/>
              </a:solidFill>
              <a:ln w="31750">
                <a:solidFill>
                  <a:schemeClr val="bg1">
                    <a:alpha val="42000"/>
                  </a:schemeClr>
                </a:solidFill>
              </a:ln>
              <a:effectLst/>
            </c:spPr>
          </c:dPt>
          <c:dPt>
            <c:idx val="4"/>
            <c:bubble3D val="0"/>
            <c:spPr>
              <a:solidFill>
                <a:srgbClr val="F68B6B"/>
              </a:solidFill>
              <a:ln w="31750">
                <a:solidFill>
                  <a:schemeClr val="bg1">
                    <a:alpha val="42000"/>
                  </a:schemeClr>
                </a:solidFill>
              </a:ln>
              <a:effectLst/>
            </c:spPr>
          </c:dPt>
          <c:dPt>
            <c:idx val="5"/>
            <c:bubble3D val="0"/>
            <c:spPr>
              <a:solidFill>
                <a:srgbClr val="859949"/>
              </a:solidFill>
              <a:ln w="31750">
                <a:solidFill>
                  <a:schemeClr val="bg1">
                    <a:alpha val="42000"/>
                  </a:schemeClr>
                </a:solidFill>
              </a:ln>
              <a:effectLst/>
            </c:spPr>
          </c:dPt>
          <c:dPt>
            <c:idx val="6"/>
            <c:bubble3D val="0"/>
            <c:spPr>
              <a:solidFill>
                <a:srgbClr val="859949"/>
              </a:solidFill>
              <a:ln w="31750">
                <a:solidFill>
                  <a:schemeClr val="bg1">
                    <a:alpha val="42000"/>
                  </a:schemeClr>
                </a:solidFill>
              </a:ln>
              <a:effectLst/>
            </c:spPr>
          </c:dPt>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[工作簿1.xlsx]一、收入支出决算总体情况说明!$B$28:$B$34</c:f>
              <c:strCache>
                <c:ptCount val="7"/>
                <c:pt idx="0">
                  <c:v>一般公共预算财政拨款收入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[工作簿1.xlsx]一、收入支出决算总体情况说明!$C$28:$C$34</c:f>
              <c:numCache>
                <c:formatCode>General</c:formatCode>
                <c:ptCount val="7"/>
                <c:pt idx="0">
                  <c:v>2734.01</c:v>
                </c:pt>
                <c:pt idx="1">
                  <c:v>0</c:v>
                </c:pt>
                <c:pt idx="2">
                  <c:v>0</c:v>
                </c:pt>
                <c:pt idx="3">
                  <c:v>0</c:v>
                </c:pt>
                <c:pt idx="4">
                  <c:v>0</c:v>
                </c:pt>
                <c:pt idx="5">
                  <c:v>0</c:v>
                </c:pt>
                <c:pt idx="6">
                  <c:v>0</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t"/>
      <c:layout>
        <c:manualLayout>
          <c:xMode val="edge"/>
          <c:yMode val="edge"/>
          <c:x val="0.0303961196443007"/>
          <c:y val="0.100950118764846"/>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lang="zh-CN" altLang="en-US"/>
              <a:t>支出决算结构图</a:t>
            </a:r>
            <a:endParaRPr lang="zh-CN" altLang="en-US"/>
          </a:p>
        </c:rich>
      </c:tx>
      <c:layout/>
      <c:overlay val="0"/>
      <c:spPr>
        <a:noFill/>
        <a:ln>
          <a:noFill/>
        </a:ln>
        <a:effectLst/>
      </c:spPr>
    </c:title>
    <c:autoTitleDeleted val="0"/>
    <c:plotArea>
      <c:layout>
        <c:manualLayout>
          <c:layoutTarget val="inner"/>
          <c:xMode val="edge"/>
          <c:yMode val="edge"/>
          <c:x val="0.300459674049311"/>
          <c:y val="0.25974025974026"/>
          <c:w val="0.408552723220504"/>
          <c:h val="0.692561983471074"/>
        </c:manualLayout>
      </c:layout>
      <c:pieChart>
        <c:varyColors val="1"/>
        <c:ser>
          <c:idx val="0"/>
          <c:order val="0"/>
          <c:spPr>
            <a:solidFill>
              <a:srgbClr val="859949"/>
            </a:solidFill>
            <a:ln w="31750">
              <a:solidFill>
                <a:schemeClr val="bg1">
                  <a:alpha val="42000"/>
                </a:schemeClr>
              </a:solidFill>
            </a:ln>
          </c:spPr>
          <c:explosion val="0"/>
          <c:dPt>
            <c:idx val="0"/>
            <c:bubble3D val="0"/>
            <c:spPr>
              <a:solidFill>
                <a:srgbClr val="365B7C"/>
              </a:solidFill>
              <a:ln w="31750">
                <a:solidFill>
                  <a:schemeClr val="bg1">
                    <a:alpha val="42000"/>
                  </a:schemeClr>
                </a:solidFill>
              </a:ln>
              <a:effectLst/>
            </c:spPr>
          </c:dPt>
          <c:dPt>
            <c:idx val="1"/>
            <c:bubble3D val="0"/>
            <c:spPr>
              <a:solidFill>
                <a:srgbClr val="966480"/>
              </a:solidFill>
              <a:ln w="31750">
                <a:solidFill>
                  <a:schemeClr val="bg1">
                    <a:alpha val="42000"/>
                  </a:schemeClr>
                </a:solidFill>
              </a:ln>
              <a:effectLst/>
            </c:spPr>
          </c:dPt>
          <c:dPt>
            <c:idx val="2"/>
            <c:bubble3D val="0"/>
            <c:spPr>
              <a:solidFill>
                <a:srgbClr val="D06F83"/>
              </a:solidFill>
              <a:ln w="31750">
                <a:solidFill>
                  <a:schemeClr val="bg1">
                    <a:alpha val="42000"/>
                  </a:schemeClr>
                </a:solidFill>
              </a:ln>
              <a:effectLst/>
            </c:spPr>
          </c:dPt>
          <c:dPt>
            <c:idx val="3"/>
            <c:bubble3D val="0"/>
            <c:spPr>
              <a:solidFill>
                <a:srgbClr val="DD5F71"/>
              </a:solidFill>
              <a:ln w="31750">
                <a:solidFill>
                  <a:schemeClr val="bg1">
                    <a:alpha val="42000"/>
                  </a:schemeClr>
                </a:solidFill>
              </a:ln>
              <a:effectLst/>
            </c:spPr>
          </c:dPt>
          <c:dPt>
            <c:idx val="4"/>
            <c:bubble3D val="0"/>
            <c:spPr>
              <a:solidFill>
                <a:srgbClr val="F68B6B"/>
              </a:solidFill>
              <a:ln w="31750">
                <a:solidFill>
                  <a:schemeClr val="bg1">
                    <a:alpha val="42000"/>
                  </a:schemeClr>
                </a:solidFill>
              </a:ln>
              <a:effectLst/>
            </c:spPr>
          </c:dPt>
          <c:dLbls>
            <c:dLbl>
              <c:idx val="0"/>
              <c:layout>
                <c:manualLayout>
                  <c:x val="0.067298367902167"/>
                  <c:y val="-0.0061011166049491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lang="en-US" altLang="zh-CN"/>
                      <a:t>94.56</a:t>
                    </a:r>
                    <a:r>
                      <a:rPr lang="en-US"/>
                      <a:t>%</a:t>
                    </a:r>
                    <a:endParaRPr lang="en-US"/>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0977850386817855"/>
                  <c:y val="0.0088871510687052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lang="en-US" altLang="zh-CN"/>
                      <a:t>5.44</a:t>
                    </a:r>
                    <a:r>
                      <a:rPr lang="en-US"/>
                      <a:t>%</a:t>
                    </a:r>
                    <a:endParaRPr lang="en-US"/>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[工作簿1.xlsx]支出决算情况说明!$P$1:$T$1</c:f>
              <c:strCache>
                <c:ptCount val="5"/>
                <c:pt idx="0">
                  <c:v>基本支出</c:v>
                </c:pt>
                <c:pt idx="1">
                  <c:v>项目支出</c:v>
                </c:pt>
                <c:pt idx="2">
                  <c:v>上缴上级支出</c:v>
                </c:pt>
                <c:pt idx="3">
                  <c:v>经营支出</c:v>
                </c:pt>
                <c:pt idx="4">
                  <c:v>对附属单位补助支出</c:v>
                </c:pt>
              </c:strCache>
            </c:strRef>
          </c:cat>
          <c:val>
            <c:numRef>
              <c:f>[工作簿1.xlsx]支出决算情况说明!$P$2:$T$2</c:f>
              <c:numCache>
                <c:formatCode>General</c:formatCode>
                <c:ptCount val="5"/>
                <c:pt idx="0">
                  <c:v>2585.21</c:v>
                </c:pt>
                <c:pt idx="1">
                  <c:v>148.8</c:v>
                </c:pt>
                <c:pt idx="2">
                  <c:v>0</c:v>
                </c:pt>
                <c:pt idx="3">
                  <c:v>0</c:v>
                </c:pt>
                <c:pt idx="4">
                  <c:v>0</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lang="zh-CN" altLang="en-US"/>
              <a:t>财政拨款收、支决算总计变动情况</a:t>
            </a:r>
            <a:endParaRPr lang="zh-CN" altLang="en-US"/>
          </a:p>
        </c:rich>
      </c:tx>
      <c:layout/>
      <c:overlay val="0"/>
      <c:spPr>
        <a:noFill/>
        <a:ln>
          <a:noFill/>
        </a:ln>
        <a:effectLst/>
      </c:spPr>
    </c:title>
    <c:autoTitleDeleted val="0"/>
    <c:plotArea>
      <c:layout>
        <c:manualLayout>
          <c:layoutTarget val="inner"/>
          <c:xMode val="edge"/>
          <c:yMode val="edge"/>
          <c:x val="0.0559816218099468"/>
          <c:y val="0.247865112907836"/>
          <c:w val="0.911111111111111"/>
          <c:h val="0.654027777777778"/>
        </c:manualLayout>
      </c:layout>
      <c:barChart>
        <c:barDir val="col"/>
        <c:grouping val="clustered"/>
        <c:varyColors val="0"/>
        <c:ser>
          <c:idx val="0"/>
          <c:order val="0"/>
          <c:tx>
            <c:strRef>
              <c:f>[工作簿1.xlsx]一、收入支出决算总体情况说明!$B$13</c:f>
              <c:strCache>
                <c:ptCount val="1"/>
                <c:pt idx="0">
                  <c:v>收入</c:v>
                </c:pt>
              </c:strCache>
            </c:strRef>
          </c:tx>
          <c:spPr>
            <a:solidFill>
              <a:srgbClr val="365B7C"/>
            </a:solidFill>
            <a:ln w="57150" cmpd="dbl">
              <a:solidFill>
                <a:srgbClr val="365B7C"/>
              </a:solidFill>
            </a:ln>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[工作簿1.xlsx]一、收入支出决算总体情况说明!$C$12:$D$12</c:f>
              <c:strCache>
                <c:ptCount val="2"/>
                <c:pt idx="0">
                  <c:v>2020年</c:v>
                </c:pt>
                <c:pt idx="1">
                  <c:v>2019年</c:v>
                </c:pt>
              </c:strCache>
            </c:strRef>
          </c:cat>
          <c:val>
            <c:numRef>
              <c:f>[工作簿1.xlsx]一、收入支出决算总体情况说明!$C$13:$D$13</c:f>
              <c:numCache>
                <c:formatCode>General</c:formatCode>
                <c:ptCount val="2"/>
                <c:pt idx="0">
                  <c:v>2734.01</c:v>
                </c:pt>
                <c:pt idx="1">
                  <c:v>2916.99</c:v>
                </c:pt>
              </c:numCache>
            </c:numRef>
          </c:val>
        </c:ser>
        <c:ser>
          <c:idx val="1"/>
          <c:order val="1"/>
          <c:tx>
            <c:strRef>
              <c:f>[工作簿1.xlsx]一、收入支出决算总体情况说明!$B$14</c:f>
              <c:strCache>
                <c:ptCount val="1"/>
                <c:pt idx="0">
                  <c:v>支出</c:v>
                </c:pt>
              </c:strCache>
            </c:strRef>
          </c:tx>
          <c:spPr>
            <a:solidFill>
              <a:srgbClr val="966480"/>
            </a:solidFill>
            <a:ln w="57150" cmpd="dbl">
              <a:solidFill>
                <a:srgbClr val="966480"/>
              </a:solidFill>
            </a:ln>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[工作簿1.xlsx]一、收入支出决算总体情况说明!$C$12:$D$12</c:f>
              <c:strCache>
                <c:ptCount val="2"/>
                <c:pt idx="0">
                  <c:v>2020年</c:v>
                </c:pt>
                <c:pt idx="1">
                  <c:v>2019年</c:v>
                </c:pt>
              </c:strCache>
            </c:strRef>
          </c:cat>
          <c:val>
            <c:numRef>
              <c:f>[工作簿1.xlsx]一、收入支出决算总体情况说明!$C$14:$D$14</c:f>
              <c:numCache>
                <c:formatCode>General</c:formatCode>
                <c:ptCount val="2"/>
                <c:pt idx="0">
                  <c:v>2734.01</c:v>
                </c:pt>
                <c:pt idx="1">
                  <c:v>2910.8</c:v>
                </c:pt>
              </c:numCache>
            </c:numRef>
          </c:val>
        </c:ser>
        <c:dLbls>
          <c:showLegendKey val="0"/>
          <c:showVal val="1"/>
          <c:showCatName val="0"/>
          <c:showSerName val="0"/>
          <c:showPercent val="0"/>
          <c:showBubbleSize val="0"/>
        </c:dLbls>
        <c:gapWidth val="269"/>
        <c:overlap val="-55"/>
        <c:axId val="419542257"/>
        <c:axId val="892823090"/>
      </c:barChart>
      <c:catAx>
        <c:axId val="419542257"/>
        <c:scaling>
          <c:orientation val="minMax"/>
        </c:scaling>
        <c:delete val="0"/>
        <c:axPos val="b"/>
        <c:numFmt formatCode="General" sourceLinked="0"/>
        <c:majorTickMark val="none"/>
        <c:minorTickMark val="none"/>
        <c:tickLblPos val="nextTo"/>
        <c:spPr>
          <a:noFill/>
          <a:ln w="9525" cap="flat" cmpd="sng" algn="ctr">
            <a:solidFill>
              <a:schemeClr val="bg1">
                <a:lumMod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892823090"/>
        <c:crosses val="autoZero"/>
        <c:auto val="1"/>
        <c:lblAlgn val="ctr"/>
        <c:lblOffset val="100"/>
        <c:noMultiLvlLbl val="0"/>
      </c:catAx>
      <c:valAx>
        <c:axId val="892823090"/>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419542257"/>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lang="zh-CN" altLang="en-US"/>
              <a:t>一般公共预算财政拨款支出决算变动情况 （单位：万元）</a:t>
            </a:r>
            <a:endParaRPr lang="zh-CN" altLang="en-US"/>
          </a:p>
        </c:rich>
      </c:tx>
      <c:layout>
        <c:manualLayout>
          <c:xMode val="edge"/>
          <c:yMode val="edge"/>
          <c:x val="0.163888888888889"/>
          <c:y val="0.0324074074074074"/>
        </c:manualLayout>
      </c:layout>
      <c:overlay val="0"/>
      <c:spPr>
        <a:noFill/>
        <a:ln>
          <a:noFill/>
        </a:ln>
        <a:effectLst/>
      </c:spPr>
    </c:title>
    <c:autoTitleDeleted val="0"/>
    <c:plotArea>
      <c:layout>
        <c:manualLayout>
          <c:layoutTarget val="inner"/>
          <c:xMode val="edge"/>
          <c:yMode val="edge"/>
          <c:x val="0.0559816218099468"/>
          <c:y val="0.326111475648877"/>
          <c:w val="0.911111111111111"/>
          <c:h val="0.566064814814815"/>
        </c:manualLayout>
      </c:layout>
      <c:barChart>
        <c:barDir val="col"/>
        <c:grouping val="clustered"/>
        <c:varyColors val="0"/>
        <c:ser>
          <c:idx val="0"/>
          <c:order val="0"/>
          <c:tx>
            <c:strRef>
              <c:f>[工作簿1.xlsx]支出决算情况说明!$C$16</c:f>
              <c:strCache>
                <c:ptCount val="1"/>
                <c:pt idx="0">
                  <c:v>支出</c:v>
                </c:pt>
              </c:strCache>
            </c:strRef>
          </c:tx>
          <c:spPr>
            <a:solidFill>
              <a:srgbClr val="365B7C"/>
            </a:solidFill>
            <a:ln w="57150" cmpd="dbl">
              <a:solidFill>
                <a:srgbClr val="365B7C"/>
              </a:solidFill>
            </a:ln>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[工作簿1.xlsx]支出决算情况说明!$D$15:$E$15</c:f>
              <c:strCache>
                <c:ptCount val="2"/>
                <c:pt idx="0">
                  <c:v>2020年</c:v>
                </c:pt>
                <c:pt idx="1">
                  <c:v>2019年</c:v>
                </c:pt>
              </c:strCache>
            </c:strRef>
          </c:cat>
          <c:val>
            <c:numRef>
              <c:f>[工作簿1.xlsx]支出决算情况说明!$D$16:$E$16</c:f>
              <c:numCache>
                <c:formatCode>General</c:formatCode>
                <c:ptCount val="2"/>
                <c:pt idx="0">
                  <c:v>2734.01</c:v>
                </c:pt>
                <c:pt idx="1">
                  <c:v>2910.8</c:v>
                </c:pt>
              </c:numCache>
            </c:numRef>
          </c:val>
        </c:ser>
        <c:dLbls>
          <c:showLegendKey val="0"/>
          <c:showVal val="1"/>
          <c:showCatName val="0"/>
          <c:showSerName val="0"/>
          <c:showPercent val="0"/>
          <c:showBubbleSize val="0"/>
        </c:dLbls>
        <c:gapWidth val="269"/>
        <c:overlap val="-55"/>
        <c:axId val="95206194"/>
        <c:axId val="196273028"/>
      </c:barChart>
      <c:catAx>
        <c:axId val="95206194"/>
        <c:scaling>
          <c:orientation val="minMax"/>
        </c:scaling>
        <c:delete val="0"/>
        <c:axPos val="b"/>
        <c:numFmt formatCode="General" sourceLinked="0"/>
        <c:majorTickMark val="none"/>
        <c:minorTickMark val="none"/>
        <c:tickLblPos val="nextTo"/>
        <c:spPr>
          <a:noFill/>
          <a:ln w="9525" cap="flat" cmpd="sng" algn="ctr">
            <a:solidFill>
              <a:schemeClr val="bg1">
                <a:lumMod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196273028"/>
        <c:crosses val="autoZero"/>
        <c:auto val="1"/>
        <c:lblAlgn val="ctr"/>
        <c:lblOffset val="100"/>
        <c:noMultiLvlLbl val="0"/>
      </c:catAx>
      <c:valAx>
        <c:axId val="196273028"/>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95206194"/>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forceAA="0"/>
          <a:lstStyle/>
          <a:p>
            <a:pPr defTabSz="914400">
              <a:defRPr lang="zh-CN" sz="1400" b="0" i="0" u="none" strike="noStrike" kern="1200" spc="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lang="zh-CN" altLang="en-US"/>
              <a:t>一般公共预算财政拨款支出决算结构</a:t>
            </a:r>
            <a:endParaRPr lang="zh-CN" altLang="en-US"/>
          </a:p>
        </c:rich>
      </c:tx>
      <c:layout/>
      <c:overlay val="0"/>
      <c:spPr>
        <a:noFill/>
        <a:ln>
          <a:noFill/>
        </a:ln>
        <a:effectLst/>
      </c:spPr>
    </c:title>
    <c:autoTitleDeleted val="0"/>
    <c:plotArea>
      <c:layout>
        <c:manualLayout>
          <c:layoutTarget val="inner"/>
          <c:xMode val="edge"/>
          <c:yMode val="edge"/>
          <c:x val="0.300459674049311"/>
          <c:y val="0.25974025974026"/>
          <c:w val="0.408552723220504"/>
          <c:h val="0.692561983471074"/>
        </c:manualLayout>
      </c:layout>
      <c:pieChart>
        <c:varyColors val="1"/>
        <c:ser>
          <c:idx val="0"/>
          <c:order val="0"/>
          <c:spPr/>
          <c:explosion val="0"/>
          <c:dPt>
            <c:idx val="0"/>
            <c:bubble3D val="0"/>
            <c:spPr>
              <a:solidFill>
                <a:schemeClr val="accent2"/>
              </a:solidFill>
              <a:ln>
                <a:noFill/>
              </a:ln>
              <a:effectLst/>
            </c:spPr>
          </c:dPt>
          <c:dPt>
            <c:idx val="1"/>
            <c:bubble3D val="0"/>
            <c:spPr>
              <a:solidFill>
                <a:schemeClr val="accent4"/>
              </a:solidFill>
              <a:ln>
                <a:noFill/>
              </a:ln>
              <a:effectLst/>
            </c:spPr>
          </c:dPt>
          <c:dPt>
            <c:idx val="2"/>
            <c:bubble3D val="0"/>
            <c:spPr>
              <a:solidFill>
                <a:schemeClr val="accent6"/>
              </a:solidFill>
              <a:ln>
                <a:noFill/>
              </a:ln>
              <a:effectLst/>
            </c:spPr>
          </c:dPt>
          <c:dPt>
            <c:idx val="3"/>
            <c:bubble3D val="0"/>
            <c:spPr>
              <a:solidFill>
                <a:schemeClr val="accent2">
                  <a:lumMod val="60000"/>
                </a:schemeClr>
              </a:solidFill>
              <a:ln>
                <a:noFill/>
              </a:ln>
              <a:effectLst/>
            </c:spPr>
          </c:dPt>
          <c:dPt>
            <c:idx val="4"/>
            <c:bubble3D val="0"/>
            <c:spPr>
              <a:solidFill>
                <a:schemeClr val="accent4">
                  <a:lumMod val="60000"/>
                </a:schemeClr>
              </a:solidFill>
              <a:ln>
                <a:noFill/>
              </a:ln>
              <a:effectLst/>
            </c:spPr>
          </c:dPt>
          <c:dPt>
            <c:idx val="5"/>
            <c:bubble3D val="0"/>
            <c:spPr>
              <a:solidFill>
                <a:schemeClr val="accent6">
                  <a:lumMod val="60000"/>
                </a:schemeClr>
              </a:solidFill>
              <a:ln>
                <a:no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lang="en-US" altLang="zh-CN"/>
                      <a:t>0.29%</a:t>
                    </a:r>
                    <a:endParaRPr lang="en-US" altLang="zh-CN"/>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0"/>
              <c:showCatName val="0"/>
              <c:showSerName val="0"/>
              <c:showPercent val="1"/>
              <c:showBubbleSize val="0"/>
              <c:extLst>
                <c:ext xmlns:c15="http://schemas.microsoft.com/office/drawing/2012/chart" uri="{CE6537A1-D6FC-4f65-9D91-7224C49458BB}"/>
              </c:extLst>
            </c:dLbl>
            <c:dLbl>
              <c:idx val="1"/>
              <c:layout>
                <c:manualLayout>
                  <c:x val="0.00802732943446371"/>
                  <c:y val="0.18114932304534"/>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lang="en-US" altLang="zh-CN"/>
                      <a:t>0.16</a:t>
                    </a:r>
                    <a:r>
                      <a:rPr lang="en-US"/>
                      <a:t>%</a:t>
                    </a:r>
                    <a:endParaRPr lang="en-US"/>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lang="en-US" altLang="zh-CN"/>
                      <a:t>15.14%</a:t>
                    </a:r>
                    <a:endParaRPr lang="en-US" altLang="zh-CN"/>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0"/>
              <c:showCatName val="0"/>
              <c:showSerName val="0"/>
              <c:showPercent val="1"/>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lang="en-US" altLang="zh-CN"/>
                      <a:t>5.33</a:t>
                    </a:r>
                    <a:r>
                      <a:rPr lang="en-US"/>
                      <a:t>%</a:t>
                    </a:r>
                    <a:endParaRPr lang="en-US"/>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0"/>
              <c:showCatName val="0"/>
              <c:showSerName val="0"/>
              <c:showPercent val="1"/>
              <c:showBubbleSize val="0"/>
              <c:extLst>
                <c:ext xmlns:c15="http://schemas.microsoft.com/office/drawing/2012/chart" uri="{CE6537A1-D6FC-4f65-9D91-7224C49458BB}"/>
              </c:extLst>
            </c:dLbl>
            <c:dLbl>
              <c:idx val="4"/>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lang="en-US" altLang="zh-CN"/>
                      <a:t>70.32</a:t>
                    </a:r>
                    <a:r>
                      <a:rPr lang="en-US"/>
                      <a:t>%</a:t>
                    </a:r>
                    <a:endParaRPr lang="en-US"/>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0"/>
              <c:showCatName val="0"/>
              <c:showSerName val="0"/>
              <c:showPercent val="1"/>
              <c:showBubbleSize val="0"/>
              <c:extLst>
                <c:ext xmlns:c15="http://schemas.microsoft.com/office/drawing/2012/chart" uri="{CE6537A1-D6FC-4f65-9D91-7224C49458BB}"/>
              </c:extLst>
            </c:dLbl>
            <c:dLbl>
              <c:idx val="5"/>
              <c:layout>
                <c:manualLayout>
                  <c:x val="0.0199432373854366"/>
                  <c:y val="0.140837165389055"/>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lang="en-US" altLang="zh-CN"/>
                      <a:t>8.76</a:t>
                    </a:r>
                    <a:r>
                      <a:rPr lang="en-US"/>
                      <a:t>%</a:t>
                    </a:r>
                    <a:endParaRPr lang="en-US"/>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[工作簿1.xlsx]Sheet1!$A$1:$A$6</c:f>
              <c:strCache>
                <c:ptCount val="6"/>
                <c:pt idx="0">
                  <c:v>一般公共服务支出</c:v>
                </c:pt>
                <c:pt idx="1">
                  <c:v>教育支出</c:v>
                </c:pt>
                <c:pt idx="2">
                  <c:v>社会保障和就业支出</c:v>
                </c:pt>
                <c:pt idx="3">
                  <c:v>卫生健康支出</c:v>
                </c:pt>
                <c:pt idx="4">
                  <c:v>农林水支出</c:v>
                </c:pt>
                <c:pt idx="5">
                  <c:v>住房保障支出</c:v>
                </c:pt>
              </c:strCache>
            </c:strRef>
          </c:cat>
          <c:val>
            <c:numRef>
              <c:f>[工作簿1.xlsx]Sheet1!$D$1:$D$6</c:f>
              <c:numCache>
                <c:formatCode>General</c:formatCode>
                <c:ptCount val="6"/>
                <c:pt idx="0">
                  <c:v>4.5</c:v>
                </c:pt>
                <c:pt idx="1">
                  <c:v>7.88</c:v>
                </c:pt>
                <c:pt idx="2">
                  <c:v>413.87</c:v>
                </c:pt>
                <c:pt idx="3">
                  <c:v>145.62</c:v>
                </c:pt>
                <c:pt idx="4">
                  <c:v>1922.46</c:v>
                </c:pt>
                <c:pt idx="5">
                  <c:v>239.68</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t"/>
      <c:layout>
        <c:manualLayout>
          <c:xMode val="edge"/>
          <c:yMode val="edge"/>
          <c:x val="0.129027777777778"/>
          <c:y val="0.12662037037037"/>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lang="zh-CN" altLang="en-US"/>
              <a:t>“三公”经费财政拨款支出结构</a:t>
            </a:r>
            <a:endParaRPr lang="zh-CN" altLang="en-US"/>
          </a:p>
        </c:rich>
      </c:tx>
      <c:layout/>
      <c:overlay val="0"/>
      <c:spPr>
        <a:noFill/>
        <a:ln>
          <a:noFill/>
        </a:ln>
        <a:effectLst/>
      </c:spPr>
    </c:title>
    <c:autoTitleDeleted val="0"/>
    <c:plotArea>
      <c:layout>
        <c:manualLayout>
          <c:layoutTarget val="inner"/>
          <c:xMode val="edge"/>
          <c:yMode val="edge"/>
          <c:x val="0.300459674049311"/>
          <c:y val="0.25974025974026"/>
          <c:w val="0.408552723220504"/>
          <c:h val="0.692561983471074"/>
        </c:manualLayout>
      </c:layout>
      <c:pieChart>
        <c:varyColors val="1"/>
        <c:ser>
          <c:idx val="0"/>
          <c:order val="0"/>
          <c:spPr>
            <a:solidFill>
              <a:srgbClr val="859949"/>
            </a:solidFill>
            <a:ln w="31750">
              <a:solidFill>
                <a:schemeClr val="bg1">
                  <a:alpha val="42000"/>
                </a:schemeClr>
              </a:solidFill>
            </a:ln>
          </c:spPr>
          <c:explosion val="0"/>
          <c:dPt>
            <c:idx val="0"/>
            <c:bubble3D val="0"/>
            <c:spPr>
              <a:solidFill>
                <a:srgbClr val="365B7C"/>
              </a:solidFill>
              <a:ln w="31750">
                <a:solidFill>
                  <a:schemeClr val="bg1">
                    <a:alpha val="42000"/>
                  </a:schemeClr>
                </a:solidFill>
              </a:ln>
              <a:effectLst/>
            </c:spPr>
          </c:dPt>
          <c:dPt>
            <c:idx val="1"/>
            <c:bubble3D val="0"/>
            <c:spPr>
              <a:solidFill>
                <a:srgbClr val="966480"/>
              </a:solidFill>
              <a:ln w="31750">
                <a:solidFill>
                  <a:schemeClr val="bg1">
                    <a:alpha val="42000"/>
                  </a:schemeClr>
                </a:solidFill>
              </a:ln>
              <a:effectLst/>
            </c:spPr>
          </c:dPt>
          <c:dPt>
            <c:idx val="2"/>
            <c:bubble3D val="0"/>
            <c:spPr>
              <a:solidFill>
                <a:srgbClr val="D06F83"/>
              </a:solidFill>
              <a:ln w="31750">
                <a:solidFill>
                  <a:schemeClr val="bg1">
                    <a:alpha val="42000"/>
                  </a:schemeClr>
                </a:solidFill>
              </a:ln>
              <a:effectLst/>
            </c:spPr>
          </c:dPt>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[工作簿1.xlsx]三公!$B$1:$D$1</c:f>
              <c:strCache>
                <c:ptCount val="3"/>
                <c:pt idx="0">
                  <c:v>因公出国（境）费</c:v>
                </c:pt>
                <c:pt idx="1">
                  <c:v>公务用车购置及运行费</c:v>
                </c:pt>
                <c:pt idx="2">
                  <c:v>公务接待费</c:v>
                </c:pt>
              </c:strCache>
            </c:strRef>
          </c:cat>
          <c:val>
            <c:numRef>
              <c:f>[工作簿1.xlsx]三公!$B$2:$D$2</c:f>
              <c:numCache>
                <c:formatCode>#,##0.00</c:formatCode>
                <c:ptCount val="3"/>
                <c:pt idx="0">
                  <c:v>0</c:v>
                </c:pt>
                <c:pt idx="1">
                  <c:v>31.81</c:v>
                </c:pt>
                <c:pt idx="2">
                  <c:v>0.85</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C7602-F64C-4C8E-92A1-821E23A4E59B}">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45</Pages>
  <Words>16136</Words>
  <Characters>17409</Characters>
  <Lines>141</Lines>
  <Paragraphs>39</Paragraphs>
  <TotalTime>2</TotalTime>
  <ScaleCrop>false</ScaleCrop>
  <LinksUpToDate>false</LinksUpToDate>
  <CharactersWithSpaces>19926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刘媛</cp:lastModifiedBy>
  <cp:lastPrinted>2021-08-17T08:06:00Z</cp:lastPrinted>
  <dcterms:modified xsi:type="dcterms:W3CDTF">2022-11-11T03:18:10Z</dcterms:modified>
  <dc:title>四川省***</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17705E54326B41F4B8E27CAEA02E1646</vt:lpwstr>
  </property>
</Properties>
</file>